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E7" w:rsidRPr="005303D5" w:rsidRDefault="00257EE7" w:rsidP="00257EE7">
      <w:pPr>
        <w:pStyle w:val="Heading1"/>
        <w:rPr>
          <w:rFonts w:ascii="Arial" w:hAnsi="Arial" w:cs="Arial"/>
          <w:sz w:val="20"/>
        </w:rPr>
      </w:pPr>
      <w:r w:rsidRPr="005303D5">
        <w:rPr>
          <w:rFonts w:ascii="Arial" w:hAnsi="Arial" w:cs="Arial"/>
          <w:sz w:val="20"/>
        </w:rPr>
        <w:t>BOURNEMOUTH UNIVERSITY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303D5">
        <w:rPr>
          <w:rFonts w:ascii="Arial" w:hAnsi="Arial" w:cs="Arial"/>
          <w:sz w:val="20"/>
        </w:rPr>
        <w:tab/>
      </w:r>
      <w:r>
        <w:rPr>
          <w:rFonts w:ascii="Arial" w:hAnsi="Arial" w:cs="Arial"/>
          <w:sz w:val="20"/>
        </w:rPr>
        <w:t xml:space="preserve">        </w:t>
      </w:r>
      <w:r w:rsidR="00D65FB9">
        <w:rPr>
          <w:rFonts w:ascii="Arial" w:hAnsi="Arial" w:cs="Arial"/>
          <w:sz w:val="20"/>
        </w:rPr>
        <w:t xml:space="preserve">    </w:t>
      </w:r>
      <w:r w:rsidR="003B3651">
        <w:rPr>
          <w:rFonts w:ascii="Arial" w:hAnsi="Arial" w:cs="Arial"/>
          <w:sz w:val="20"/>
        </w:rPr>
        <w:t xml:space="preserve">      C</w:t>
      </w:r>
      <w:r>
        <w:rPr>
          <w:rFonts w:ascii="Arial" w:hAnsi="Arial" w:cs="Arial"/>
          <w:sz w:val="20"/>
        </w:rPr>
        <w:t>onfirmed</w:t>
      </w:r>
    </w:p>
    <w:p w:rsidR="00257EE7" w:rsidRPr="005303D5" w:rsidRDefault="00257EE7" w:rsidP="00257EE7">
      <w:pPr>
        <w:ind w:right="-22"/>
        <w:jc w:val="both"/>
        <w:rPr>
          <w:rFonts w:ascii="Arial" w:hAnsi="Arial" w:cs="Arial"/>
          <w:b/>
          <w:sz w:val="20"/>
          <w:szCs w:val="20"/>
        </w:rPr>
      </w:pPr>
      <w:r w:rsidRPr="005303D5">
        <w:rPr>
          <w:rFonts w:ascii="Arial" w:hAnsi="Arial" w:cs="Arial"/>
          <w:b/>
          <w:sz w:val="20"/>
          <w:szCs w:val="20"/>
        </w:rPr>
        <w:t>ACADEMIC STANDARDS COMMITTEE</w:t>
      </w:r>
    </w:p>
    <w:p w:rsidR="00257EE7" w:rsidRDefault="00257EE7" w:rsidP="00257EE7">
      <w:pPr>
        <w:ind w:right="-22"/>
        <w:jc w:val="both"/>
        <w:rPr>
          <w:rFonts w:ascii="Arial" w:hAnsi="Arial" w:cs="Arial"/>
          <w:b/>
          <w:sz w:val="20"/>
          <w:szCs w:val="20"/>
        </w:rPr>
      </w:pPr>
    </w:p>
    <w:p w:rsidR="00257EE7" w:rsidRDefault="00257EE7" w:rsidP="00257EE7">
      <w:pPr>
        <w:ind w:right="-22"/>
        <w:jc w:val="both"/>
        <w:rPr>
          <w:rFonts w:ascii="Arial" w:hAnsi="Arial" w:cs="Arial"/>
          <w:b/>
          <w:sz w:val="20"/>
          <w:szCs w:val="20"/>
        </w:rPr>
      </w:pPr>
      <w:r w:rsidRPr="005303D5">
        <w:rPr>
          <w:rFonts w:ascii="Arial" w:hAnsi="Arial" w:cs="Arial"/>
          <w:b/>
          <w:sz w:val="20"/>
          <w:szCs w:val="20"/>
        </w:rPr>
        <w:t xml:space="preserve">MINUTES OF A MEETING HELD ON </w:t>
      </w:r>
      <w:r>
        <w:rPr>
          <w:rFonts w:ascii="Arial" w:hAnsi="Arial" w:cs="Arial"/>
          <w:b/>
          <w:sz w:val="20"/>
          <w:szCs w:val="20"/>
        </w:rPr>
        <w:t>1</w:t>
      </w:r>
      <w:r w:rsidR="007F0716">
        <w:rPr>
          <w:rFonts w:ascii="Arial" w:hAnsi="Arial" w:cs="Arial"/>
          <w:b/>
          <w:sz w:val="20"/>
          <w:szCs w:val="20"/>
        </w:rPr>
        <w:t>0</w:t>
      </w:r>
      <w:r w:rsidR="007F0716" w:rsidRPr="007F0716">
        <w:rPr>
          <w:rFonts w:ascii="Arial" w:hAnsi="Arial" w:cs="Arial"/>
          <w:b/>
          <w:sz w:val="20"/>
          <w:szCs w:val="20"/>
          <w:vertAlign w:val="superscript"/>
        </w:rPr>
        <w:t>TH</w:t>
      </w:r>
      <w:r w:rsidR="007F0716">
        <w:rPr>
          <w:rFonts w:ascii="Arial" w:hAnsi="Arial" w:cs="Arial"/>
          <w:b/>
          <w:sz w:val="20"/>
          <w:szCs w:val="20"/>
        </w:rPr>
        <w:t xml:space="preserve"> FEBRUARY 2016</w:t>
      </w:r>
    </w:p>
    <w:p w:rsidR="00257EE7" w:rsidRDefault="00257EE7" w:rsidP="00257EE7">
      <w:pPr>
        <w:tabs>
          <w:tab w:val="left" w:pos="1440"/>
          <w:tab w:val="left" w:pos="4320"/>
          <w:tab w:val="right" w:pos="8268"/>
        </w:tabs>
        <w:ind w:left="1080" w:right="-22" w:hanging="1080"/>
        <w:jc w:val="both"/>
        <w:rPr>
          <w:rFonts w:ascii="Arial" w:hAnsi="Arial" w:cs="Arial"/>
          <w:b/>
          <w:sz w:val="20"/>
          <w:szCs w:val="20"/>
        </w:rPr>
      </w:pPr>
    </w:p>
    <w:p w:rsidR="00257EE7" w:rsidRPr="005303D5" w:rsidRDefault="00257EE7" w:rsidP="00257EE7">
      <w:pPr>
        <w:tabs>
          <w:tab w:val="left" w:pos="1440"/>
          <w:tab w:val="left" w:pos="4320"/>
          <w:tab w:val="right" w:pos="8268"/>
        </w:tabs>
        <w:ind w:left="1080" w:right="-22" w:hanging="1080"/>
        <w:jc w:val="both"/>
        <w:rPr>
          <w:rFonts w:ascii="Arial" w:hAnsi="Arial" w:cs="Arial"/>
          <w:b/>
          <w:sz w:val="20"/>
          <w:szCs w:val="20"/>
        </w:rPr>
      </w:pPr>
      <w:r w:rsidRPr="005303D5">
        <w:rPr>
          <w:rFonts w:ascii="Arial" w:hAnsi="Arial" w:cs="Arial"/>
          <w:b/>
          <w:sz w:val="20"/>
          <w:szCs w:val="20"/>
        </w:rPr>
        <w:t>Present:</w:t>
      </w:r>
      <w:r w:rsidRPr="005303D5">
        <w:rPr>
          <w:rFonts w:ascii="Arial" w:hAnsi="Arial" w:cs="Arial"/>
          <w:b/>
          <w:sz w:val="20"/>
          <w:szCs w:val="20"/>
        </w:rPr>
        <w:tab/>
      </w:r>
    </w:p>
    <w:p w:rsidR="00257EE7" w:rsidRPr="005303D5" w:rsidRDefault="00257EE7" w:rsidP="00257EE7">
      <w:pPr>
        <w:tabs>
          <w:tab w:val="left" w:pos="1440"/>
          <w:tab w:val="left" w:pos="4320"/>
          <w:tab w:val="right" w:pos="8268"/>
        </w:tabs>
        <w:ind w:left="1080" w:right="-22" w:hanging="1080"/>
        <w:jc w:val="both"/>
        <w:rPr>
          <w:rFonts w:ascii="Arial" w:hAnsi="Arial" w:cs="Arial"/>
          <w:b/>
          <w:sz w:val="20"/>
          <w:szCs w:val="20"/>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0"/>
      </w:tblGrid>
      <w:tr w:rsidR="00257EE7" w:rsidRPr="004421D4" w:rsidTr="00257EE7">
        <w:tc>
          <w:tcPr>
            <w:tcW w:w="3969" w:type="dxa"/>
          </w:tcPr>
          <w:p w:rsidR="00257EE7" w:rsidRDefault="00257EE7" w:rsidP="00257EE7">
            <w:pPr>
              <w:jc w:val="both"/>
              <w:rPr>
                <w:rFonts w:ascii="Arial" w:hAnsi="Arial" w:cs="Arial"/>
                <w:color w:val="000000" w:themeColor="text1"/>
                <w:sz w:val="20"/>
                <w:szCs w:val="20"/>
              </w:rPr>
            </w:pPr>
            <w:r w:rsidRPr="00696F70">
              <w:rPr>
                <w:rFonts w:ascii="Arial" w:hAnsi="Arial" w:cs="Arial"/>
                <w:color w:val="000000" w:themeColor="text1"/>
                <w:sz w:val="20"/>
                <w:szCs w:val="20"/>
              </w:rPr>
              <w:t xml:space="preserve">Prof </w:t>
            </w:r>
            <w:r>
              <w:rPr>
                <w:rFonts w:ascii="Arial" w:hAnsi="Arial" w:cs="Arial"/>
                <w:color w:val="000000" w:themeColor="text1"/>
                <w:sz w:val="20"/>
                <w:szCs w:val="20"/>
              </w:rPr>
              <w:t xml:space="preserve">Tim McIntyre-Bhatty </w:t>
            </w:r>
            <w:r w:rsidRPr="00696F70">
              <w:rPr>
                <w:rFonts w:ascii="Arial" w:hAnsi="Arial" w:cs="Arial"/>
                <w:color w:val="000000" w:themeColor="text1"/>
                <w:sz w:val="20"/>
                <w:szCs w:val="20"/>
              </w:rPr>
              <w:t>(Chair)</w:t>
            </w:r>
          </w:p>
          <w:p w:rsidR="00060B94" w:rsidRDefault="00060B94" w:rsidP="00257EE7">
            <w:pPr>
              <w:jc w:val="both"/>
              <w:rPr>
                <w:rFonts w:ascii="Arial" w:hAnsi="Arial" w:cs="Arial"/>
                <w:color w:val="000000" w:themeColor="text1"/>
                <w:sz w:val="20"/>
                <w:szCs w:val="20"/>
              </w:rPr>
            </w:pPr>
            <w:r>
              <w:rPr>
                <w:rFonts w:ascii="Arial" w:hAnsi="Arial" w:cs="Arial"/>
                <w:color w:val="000000" w:themeColor="text1"/>
                <w:sz w:val="20"/>
                <w:szCs w:val="20"/>
              </w:rPr>
              <w:t>Dr Milena Bobeva</w:t>
            </w:r>
          </w:p>
          <w:p w:rsidR="00257EE7" w:rsidRDefault="00257EE7" w:rsidP="00257EE7">
            <w:pPr>
              <w:rPr>
                <w:rFonts w:ascii="Arial" w:hAnsi="Arial" w:cs="Arial"/>
                <w:sz w:val="20"/>
                <w:szCs w:val="20"/>
              </w:rPr>
            </w:pPr>
            <w:r>
              <w:rPr>
                <w:rFonts w:ascii="Arial" w:hAnsi="Arial" w:cs="Arial"/>
                <w:sz w:val="20"/>
                <w:szCs w:val="20"/>
              </w:rPr>
              <w:t>Dr Barbara Dyer</w:t>
            </w:r>
          </w:p>
          <w:p w:rsidR="00AD2767" w:rsidRPr="0067266B" w:rsidRDefault="00AD2767" w:rsidP="00257EE7">
            <w:pPr>
              <w:rPr>
                <w:rFonts w:ascii="Arial" w:hAnsi="Arial" w:cs="Arial"/>
                <w:sz w:val="20"/>
                <w:szCs w:val="20"/>
              </w:rPr>
            </w:pPr>
            <w:r>
              <w:rPr>
                <w:rFonts w:ascii="Arial" w:hAnsi="Arial" w:cs="Arial"/>
                <w:sz w:val="20"/>
                <w:szCs w:val="20"/>
              </w:rPr>
              <w:t>Mr David Foot</w:t>
            </w:r>
          </w:p>
        </w:tc>
        <w:tc>
          <w:tcPr>
            <w:tcW w:w="5670" w:type="dxa"/>
          </w:tcPr>
          <w:p w:rsidR="00257EE7" w:rsidRDefault="00257EE7" w:rsidP="00257EE7">
            <w:pPr>
              <w:ind w:right="-22"/>
              <w:rPr>
                <w:rFonts w:ascii="Arial" w:hAnsi="Arial" w:cs="Arial"/>
                <w:color w:val="000000"/>
                <w:sz w:val="20"/>
                <w:szCs w:val="20"/>
              </w:rPr>
            </w:pPr>
            <w:r>
              <w:rPr>
                <w:rFonts w:ascii="Arial" w:hAnsi="Arial" w:cs="Arial"/>
                <w:color w:val="000000"/>
                <w:sz w:val="20"/>
                <w:szCs w:val="20"/>
              </w:rPr>
              <w:t>Deputy Vice-Chancellor</w:t>
            </w:r>
          </w:p>
          <w:p w:rsidR="00060B94" w:rsidRPr="00CB65C6" w:rsidRDefault="00CB65C6" w:rsidP="00257EE7">
            <w:pPr>
              <w:ind w:right="-22"/>
              <w:rPr>
                <w:rFonts w:ascii="Arial" w:hAnsi="Arial" w:cs="Arial"/>
                <w:color w:val="000000" w:themeColor="text1"/>
                <w:sz w:val="20"/>
                <w:szCs w:val="20"/>
              </w:rPr>
            </w:pPr>
            <w:r>
              <w:rPr>
                <w:rFonts w:ascii="Arial" w:hAnsi="Arial" w:cs="Arial"/>
                <w:color w:val="000000" w:themeColor="text1"/>
                <w:sz w:val="20"/>
                <w:szCs w:val="20"/>
              </w:rPr>
              <w:t>Senate Representative (FM)</w:t>
            </w:r>
          </w:p>
          <w:p w:rsidR="00257EE7" w:rsidRDefault="00257EE7" w:rsidP="00257EE7">
            <w:pPr>
              <w:ind w:right="-22"/>
              <w:rPr>
                <w:rFonts w:ascii="Arial" w:hAnsi="Arial" w:cs="Arial"/>
                <w:color w:val="000000" w:themeColor="text1"/>
                <w:sz w:val="20"/>
                <w:szCs w:val="20"/>
              </w:rPr>
            </w:pPr>
            <w:r>
              <w:rPr>
                <w:rFonts w:ascii="Arial" w:hAnsi="Arial" w:cs="Arial"/>
                <w:color w:val="000000" w:themeColor="text1"/>
                <w:sz w:val="20"/>
                <w:szCs w:val="20"/>
              </w:rPr>
              <w:t>Deputy Dean – Education &amp; Professional Practice (FMC)</w:t>
            </w:r>
          </w:p>
          <w:p w:rsidR="00AD2767" w:rsidRPr="00696F70" w:rsidRDefault="00AD2767" w:rsidP="00257EE7">
            <w:pPr>
              <w:ind w:right="-22"/>
              <w:rPr>
                <w:rFonts w:ascii="Arial" w:hAnsi="Arial" w:cs="Arial"/>
                <w:color w:val="000000" w:themeColor="text1"/>
                <w:sz w:val="20"/>
                <w:szCs w:val="20"/>
              </w:rPr>
            </w:pPr>
            <w:r>
              <w:rPr>
                <w:rFonts w:ascii="Arial" w:hAnsi="Arial" w:cs="Arial"/>
                <w:color w:val="000000" w:themeColor="text1"/>
                <w:sz w:val="20"/>
                <w:szCs w:val="20"/>
              </w:rPr>
              <w:t>Market Research Manager (M&amp;C)</w:t>
            </w:r>
          </w:p>
        </w:tc>
      </w:tr>
      <w:tr w:rsidR="00257EE7" w:rsidRPr="004421D4" w:rsidTr="00257EE7">
        <w:tc>
          <w:tcPr>
            <w:tcW w:w="3969" w:type="dxa"/>
          </w:tcPr>
          <w:p w:rsidR="00257EE7" w:rsidRDefault="00257EE7" w:rsidP="00257EE7">
            <w:pPr>
              <w:rPr>
                <w:rFonts w:ascii="Arial" w:hAnsi="Arial" w:cs="Arial"/>
                <w:color w:val="000000" w:themeColor="text1"/>
                <w:sz w:val="20"/>
                <w:szCs w:val="20"/>
              </w:rPr>
            </w:pPr>
            <w:r>
              <w:rPr>
                <w:rFonts w:ascii="Arial" w:hAnsi="Arial" w:cs="Arial"/>
                <w:color w:val="000000" w:themeColor="text1"/>
                <w:sz w:val="20"/>
                <w:szCs w:val="20"/>
              </w:rPr>
              <w:t>Mr Alan James</w:t>
            </w:r>
          </w:p>
          <w:p w:rsidR="00AD2767" w:rsidRDefault="00AD2767" w:rsidP="00257EE7">
            <w:pPr>
              <w:rPr>
                <w:rFonts w:ascii="Arial" w:hAnsi="Arial" w:cs="Arial"/>
                <w:color w:val="000000" w:themeColor="text1"/>
                <w:sz w:val="20"/>
                <w:szCs w:val="20"/>
              </w:rPr>
            </w:pPr>
            <w:r>
              <w:rPr>
                <w:rFonts w:ascii="Arial" w:hAnsi="Arial" w:cs="Arial"/>
                <w:color w:val="000000" w:themeColor="text1"/>
                <w:sz w:val="20"/>
                <w:szCs w:val="20"/>
              </w:rPr>
              <w:t>Ms Jacky Mack</w:t>
            </w:r>
          </w:p>
          <w:p w:rsidR="00257EE7" w:rsidRDefault="00257EE7" w:rsidP="00257EE7">
            <w:pPr>
              <w:rPr>
                <w:rFonts w:ascii="Arial" w:hAnsi="Arial" w:cs="Arial"/>
                <w:color w:val="000000" w:themeColor="text1"/>
                <w:sz w:val="20"/>
                <w:szCs w:val="20"/>
              </w:rPr>
            </w:pPr>
            <w:r>
              <w:rPr>
                <w:rFonts w:ascii="Arial" w:hAnsi="Arial" w:cs="Arial"/>
                <w:color w:val="000000" w:themeColor="text1"/>
                <w:sz w:val="20"/>
                <w:szCs w:val="20"/>
              </w:rPr>
              <w:t>Dr Andrew Main</w:t>
            </w:r>
          </w:p>
          <w:p w:rsidR="00AD2767" w:rsidRPr="00286DC7" w:rsidRDefault="00AD2767" w:rsidP="00257EE7">
            <w:pPr>
              <w:rPr>
                <w:rFonts w:ascii="Arial" w:hAnsi="Arial" w:cs="Arial"/>
                <w:color w:val="000000" w:themeColor="text1"/>
                <w:sz w:val="20"/>
                <w:szCs w:val="20"/>
              </w:rPr>
            </w:pPr>
            <w:r>
              <w:rPr>
                <w:rFonts w:ascii="Arial" w:hAnsi="Arial" w:cs="Arial"/>
                <w:color w:val="000000" w:themeColor="text1"/>
                <w:sz w:val="20"/>
                <w:szCs w:val="20"/>
              </w:rPr>
              <w:t xml:space="preserve">Dr John Oliver, </w:t>
            </w:r>
            <w:proofErr w:type="spellStart"/>
            <w:r>
              <w:rPr>
                <w:rFonts w:ascii="Arial" w:hAnsi="Arial" w:cs="Arial"/>
                <w:color w:val="000000" w:themeColor="text1"/>
                <w:sz w:val="20"/>
                <w:szCs w:val="20"/>
              </w:rPr>
              <w:t>Assoc</w:t>
            </w:r>
            <w:proofErr w:type="spellEnd"/>
            <w:r>
              <w:rPr>
                <w:rFonts w:ascii="Arial" w:hAnsi="Arial" w:cs="Arial"/>
                <w:color w:val="000000" w:themeColor="text1"/>
                <w:sz w:val="20"/>
                <w:szCs w:val="20"/>
              </w:rPr>
              <w:t xml:space="preserve"> Prof</w:t>
            </w:r>
          </w:p>
        </w:tc>
        <w:tc>
          <w:tcPr>
            <w:tcW w:w="5670" w:type="dxa"/>
          </w:tcPr>
          <w:p w:rsidR="00257EE7" w:rsidRDefault="00257EE7" w:rsidP="00257EE7">
            <w:pPr>
              <w:ind w:right="-596"/>
              <w:rPr>
                <w:rFonts w:ascii="Arial" w:hAnsi="Arial" w:cs="Arial"/>
                <w:color w:val="000000" w:themeColor="text1"/>
                <w:sz w:val="20"/>
                <w:szCs w:val="20"/>
              </w:rPr>
            </w:pPr>
            <w:r>
              <w:rPr>
                <w:rFonts w:ascii="Arial" w:hAnsi="Arial" w:cs="Arial"/>
                <w:color w:val="000000" w:themeColor="text1"/>
                <w:sz w:val="20"/>
                <w:szCs w:val="20"/>
              </w:rPr>
              <w:t>General Manager of the Students’ Union (SUBU)</w:t>
            </w:r>
          </w:p>
          <w:p w:rsidR="00AD2767" w:rsidRDefault="00AD2767" w:rsidP="00257EE7">
            <w:pPr>
              <w:ind w:right="-596"/>
              <w:rPr>
                <w:rFonts w:ascii="Arial" w:hAnsi="Arial" w:cs="Arial"/>
                <w:color w:val="000000" w:themeColor="text1"/>
                <w:sz w:val="20"/>
                <w:szCs w:val="20"/>
              </w:rPr>
            </w:pPr>
            <w:r>
              <w:rPr>
                <w:rFonts w:ascii="Arial" w:hAnsi="Arial" w:cs="Arial"/>
                <w:color w:val="000000" w:themeColor="text1"/>
                <w:sz w:val="20"/>
                <w:szCs w:val="20"/>
              </w:rPr>
              <w:t>Head of Academic Services (AS)</w:t>
            </w:r>
          </w:p>
          <w:p w:rsidR="00257EE7" w:rsidRDefault="00257EE7" w:rsidP="00257EE7">
            <w:pPr>
              <w:ind w:right="-596"/>
              <w:rPr>
                <w:rFonts w:ascii="Arial" w:hAnsi="Arial" w:cs="Arial"/>
                <w:color w:val="000000" w:themeColor="text1"/>
                <w:sz w:val="20"/>
                <w:szCs w:val="20"/>
              </w:rPr>
            </w:pPr>
            <w:r>
              <w:rPr>
                <w:rFonts w:ascii="Arial" w:hAnsi="Arial" w:cs="Arial"/>
                <w:color w:val="000000" w:themeColor="text1"/>
                <w:sz w:val="20"/>
                <w:szCs w:val="20"/>
              </w:rPr>
              <w:t>Deputy Dean – Education &amp; Professional Practice (FM)</w:t>
            </w:r>
          </w:p>
          <w:p w:rsidR="00AD2767" w:rsidRPr="005A6175" w:rsidRDefault="00AD2767" w:rsidP="00257EE7">
            <w:pPr>
              <w:ind w:right="-596"/>
              <w:rPr>
                <w:rFonts w:ascii="Arial" w:hAnsi="Arial" w:cs="Arial"/>
                <w:color w:val="000000" w:themeColor="text1"/>
                <w:sz w:val="20"/>
                <w:szCs w:val="20"/>
              </w:rPr>
            </w:pPr>
            <w:r>
              <w:rPr>
                <w:rFonts w:ascii="Arial" w:hAnsi="Arial" w:cs="Arial"/>
                <w:color w:val="000000" w:themeColor="text1"/>
                <w:sz w:val="20"/>
                <w:szCs w:val="20"/>
              </w:rPr>
              <w:t>Professoriate Representative (FMC)</w:t>
            </w:r>
          </w:p>
        </w:tc>
      </w:tr>
      <w:tr w:rsidR="00257EE7" w:rsidRPr="004421D4" w:rsidTr="00257EE7">
        <w:tc>
          <w:tcPr>
            <w:tcW w:w="3969" w:type="dxa"/>
          </w:tcPr>
          <w:p w:rsidR="00257EE7" w:rsidRDefault="00257EE7" w:rsidP="00257EE7">
            <w:pPr>
              <w:ind w:right="-22"/>
              <w:jc w:val="both"/>
              <w:rPr>
                <w:rFonts w:ascii="Arial" w:hAnsi="Arial" w:cs="Arial"/>
                <w:color w:val="000000" w:themeColor="text1"/>
                <w:sz w:val="20"/>
                <w:szCs w:val="20"/>
              </w:rPr>
            </w:pPr>
            <w:r>
              <w:rPr>
                <w:rFonts w:ascii="Arial" w:hAnsi="Arial" w:cs="Arial"/>
                <w:color w:val="000000" w:themeColor="text1"/>
                <w:sz w:val="20"/>
                <w:szCs w:val="20"/>
              </w:rPr>
              <w:t>Prof Keith Phalp</w:t>
            </w:r>
          </w:p>
          <w:p w:rsidR="00AD2767" w:rsidRPr="004B651A" w:rsidRDefault="00AD2767" w:rsidP="00257EE7">
            <w:pPr>
              <w:jc w:val="both"/>
              <w:rPr>
                <w:rFonts w:ascii="Arial" w:hAnsi="Arial" w:cs="Arial"/>
                <w:color w:val="000000" w:themeColor="text1"/>
                <w:sz w:val="20"/>
                <w:szCs w:val="20"/>
              </w:rPr>
            </w:pPr>
            <w:r>
              <w:rPr>
                <w:rFonts w:ascii="Arial" w:hAnsi="Arial" w:cs="Arial"/>
                <w:color w:val="000000" w:themeColor="text1"/>
                <w:sz w:val="20"/>
                <w:szCs w:val="20"/>
              </w:rPr>
              <w:t>Ms Chloe Schendel-Wilson</w:t>
            </w:r>
          </w:p>
        </w:tc>
        <w:tc>
          <w:tcPr>
            <w:tcW w:w="5670" w:type="dxa"/>
          </w:tcPr>
          <w:p w:rsidR="00257EE7" w:rsidRDefault="00257EE7" w:rsidP="00257EE7">
            <w:pPr>
              <w:ind w:right="-171"/>
              <w:rPr>
                <w:rFonts w:ascii="Arial" w:hAnsi="Arial" w:cs="Arial"/>
                <w:color w:val="000000" w:themeColor="text1"/>
                <w:sz w:val="20"/>
                <w:szCs w:val="20"/>
              </w:rPr>
            </w:pPr>
            <w:r>
              <w:rPr>
                <w:rFonts w:ascii="Arial" w:hAnsi="Arial" w:cs="Arial"/>
                <w:color w:val="000000" w:themeColor="text1"/>
                <w:sz w:val="20"/>
                <w:szCs w:val="20"/>
              </w:rPr>
              <w:t>Deputy Dean – Education &amp; Professional Practice (FST)</w:t>
            </w:r>
          </w:p>
          <w:p w:rsidR="00AD2767" w:rsidRPr="004B651A" w:rsidRDefault="00AD2767" w:rsidP="00257EE7">
            <w:pPr>
              <w:ind w:right="-250"/>
              <w:rPr>
                <w:rFonts w:ascii="Arial" w:hAnsi="Arial" w:cs="Arial"/>
                <w:color w:val="000000" w:themeColor="text1"/>
                <w:sz w:val="20"/>
                <w:szCs w:val="20"/>
              </w:rPr>
            </w:pPr>
            <w:r>
              <w:rPr>
                <w:rFonts w:ascii="Arial" w:hAnsi="Arial" w:cs="Arial"/>
                <w:color w:val="000000" w:themeColor="text1"/>
                <w:sz w:val="20"/>
                <w:szCs w:val="20"/>
              </w:rPr>
              <w:t>President 2015/16, Students’ Union (SUBU)</w:t>
            </w:r>
          </w:p>
        </w:tc>
      </w:tr>
      <w:tr w:rsidR="00257EE7" w:rsidRPr="004421D4" w:rsidTr="00257EE7">
        <w:tc>
          <w:tcPr>
            <w:tcW w:w="3969" w:type="dxa"/>
          </w:tcPr>
          <w:p w:rsidR="00257EE7" w:rsidRDefault="00257EE7" w:rsidP="00257EE7">
            <w:pPr>
              <w:ind w:right="-22"/>
              <w:jc w:val="both"/>
              <w:rPr>
                <w:rFonts w:ascii="Arial" w:hAnsi="Arial" w:cs="Arial"/>
                <w:color w:val="000000" w:themeColor="text1"/>
                <w:sz w:val="20"/>
                <w:szCs w:val="20"/>
              </w:rPr>
            </w:pPr>
            <w:r>
              <w:rPr>
                <w:rFonts w:ascii="Arial" w:hAnsi="Arial" w:cs="Arial"/>
                <w:color w:val="000000" w:themeColor="text1"/>
                <w:sz w:val="20"/>
                <w:szCs w:val="20"/>
              </w:rPr>
              <w:t>Ms Catherine Symonds (Secretary)</w:t>
            </w:r>
          </w:p>
          <w:p w:rsidR="00257EE7" w:rsidRPr="00696F70" w:rsidRDefault="00257EE7" w:rsidP="00257EE7">
            <w:pPr>
              <w:ind w:right="-22"/>
              <w:jc w:val="both"/>
              <w:rPr>
                <w:rFonts w:ascii="Arial" w:hAnsi="Arial" w:cs="Arial"/>
                <w:color w:val="000000" w:themeColor="text1"/>
                <w:sz w:val="20"/>
                <w:szCs w:val="20"/>
              </w:rPr>
            </w:pPr>
            <w:r>
              <w:rPr>
                <w:rFonts w:ascii="Arial" w:hAnsi="Arial" w:cs="Arial"/>
                <w:color w:val="000000" w:themeColor="text1"/>
                <w:sz w:val="20"/>
                <w:szCs w:val="20"/>
              </w:rPr>
              <w:t>Mr A</w:t>
            </w:r>
            <w:r w:rsidR="007A76E0">
              <w:rPr>
                <w:rFonts w:ascii="Arial" w:hAnsi="Arial" w:cs="Arial"/>
                <w:color w:val="000000" w:themeColor="text1"/>
                <w:sz w:val="20"/>
                <w:szCs w:val="20"/>
              </w:rPr>
              <w:t>rvid</w:t>
            </w:r>
            <w:r>
              <w:rPr>
                <w:rFonts w:ascii="Arial" w:hAnsi="Arial" w:cs="Arial"/>
                <w:color w:val="000000" w:themeColor="text1"/>
                <w:sz w:val="20"/>
                <w:szCs w:val="20"/>
              </w:rPr>
              <w:t xml:space="preserve"> Thorkeldsen</w:t>
            </w:r>
          </w:p>
        </w:tc>
        <w:tc>
          <w:tcPr>
            <w:tcW w:w="5670" w:type="dxa"/>
          </w:tcPr>
          <w:p w:rsidR="00257EE7" w:rsidRDefault="00257EE7" w:rsidP="00257EE7">
            <w:pPr>
              <w:ind w:right="-22"/>
              <w:rPr>
                <w:rFonts w:ascii="Arial" w:hAnsi="Arial" w:cs="Arial"/>
                <w:color w:val="000000" w:themeColor="text1"/>
                <w:sz w:val="20"/>
                <w:szCs w:val="20"/>
              </w:rPr>
            </w:pPr>
            <w:r>
              <w:rPr>
                <w:rFonts w:ascii="Arial" w:hAnsi="Arial" w:cs="Arial"/>
                <w:color w:val="000000" w:themeColor="text1"/>
                <w:sz w:val="20"/>
                <w:szCs w:val="20"/>
              </w:rPr>
              <w:t>Head of Quality &amp; Academic Partnerships (AS)</w:t>
            </w:r>
          </w:p>
          <w:p w:rsidR="00257EE7" w:rsidRPr="0067266B" w:rsidRDefault="00257EE7" w:rsidP="00257EE7">
            <w:pPr>
              <w:rPr>
                <w:rFonts w:ascii="Arial" w:hAnsi="Arial" w:cs="Arial"/>
                <w:sz w:val="20"/>
                <w:szCs w:val="20"/>
              </w:rPr>
            </w:pPr>
            <w:r>
              <w:rPr>
                <w:rFonts w:ascii="Arial" w:hAnsi="Arial" w:cs="Arial"/>
                <w:sz w:val="20"/>
                <w:szCs w:val="20"/>
              </w:rPr>
              <w:t>Director of Undergraduate Programmes, Anglo European College of Chiropractic (AECC)</w:t>
            </w:r>
          </w:p>
        </w:tc>
      </w:tr>
    </w:tbl>
    <w:p w:rsidR="00257EE7" w:rsidRPr="009325AC" w:rsidRDefault="00257EE7" w:rsidP="00257EE7">
      <w:pPr>
        <w:ind w:right="-22"/>
        <w:jc w:val="both"/>
        <w:rPr>
          <w:rFonts w:ascii="Arial" w:hAnsi="Arial" w:cs="Arial"/>
          <w:b/>
          <w:color w:val="000000" w:themeColor="text1"/>
          <w:sz w:val="20"/>
          <w:szCs w:val="20"/>
        </w:rPr>
      </w:pPr>
      <w:r w:rsidRPr="009325AC">
        <w:rPr>
          <w:rFonts w:ascii="Arial" w:hAnsi="Arial" w:cs="Arial"/>
          <w:b/>
          <w:color w:val="000000" w:themeColor="text1"/>
          <w:sz w:val="20"/>
          <w:szCs w:val="20"/>
        </w:rPr>
        <w:t>In Attendance:</w:t>
      </w:r>
    </w:p>
    <w:tbl>
      <w:tblPr>
        <w:tblStyle w:val="TableGrid"/>
        <w:tblW w:w="189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237"/>
        <w:gridCol w:w="3969"/>
        <w:gridCol w:w="4757"/>
      </w:tblGrid>
      <w:tr w:rsidR="00257EE7" w:rsidRPr="009325AC" w:rsidTr="00257EE7">
        <w:tc>
          <w:tcPr>
            <w:tcW w:w="3969" w:type="dxa"/>
          </w:tcPr>
          <w:p w:rsidR="00257EE7" w:rsidRDefault="00257EE7" w:rsidP="00257EE7">
            <w:pPr>
              <w:jc w:val="both"/>
              <w:rPr>
                <w:rFonts w:ascii="Arial" w:hAnsi="Arial" w:cs="Arial"/>
                <w:color w:val="000000" w:themeColor="text1"/>
                <w:sz w:val="20"/>
                <w:szCs w:val="20"/>
              </w:rPr>
            </w:pPr>
          </w:p>
          <w:p w:rsidR="00060B94" w:rsidRDefault="00060B94" w:rsidP="00257EE7">
            <w:pPr>
              <w:jc w:val="both"/>
              <w:rPr>
                <w:rFonts w:ascii="Arial" w:hAnsi="Arial" w:cs="Arial"/>
                <w:color w:val="000000" w:themeColor="text1"/>
                <w:sz w:val="20"/>
                <w:szCs w:val="20"/>
              </w:rPr>
            </w:pPr>
            <w:r>
              <w:rPr>
                <w:rFonts w:ascii="Arial" w:hAnsi="Arial" w:cs="Arial"/>
                <w:color w:val="000000" w:themeColor="text1"/>
                <w:sz w:val="20"/>
                <w:szCs w:val="20"/>
              </w:rPr>
              <w:t xml:space="preserve">Dr Phyllis Alexander </w:t>
            </w:r>
            <w:r w:rsidRPr="00A90090">
              <w:rPr>
                <w:rFonts w:ascii="Arial" w:hAnsi="Arial" w:cs="Arial"/>
                <w:color w:val="000000" w:themeColor="text1"/>
                <w:sz w:val="16"/>
                <w:szCs w:val="16"/>
              </w:rPr>
              <w:t>[Agenda Item 4.2.3]</w:t>
            </w:r>
          </w:p>
          <w:p w:rsidR="00060B94" w:rsidRDefault="00060B94" w:rsidP="00257EE7">
            <w:pPr>
              <w:jc w:val="both"/>
              <w:rPr>
                <w:rFonts w:ascii="Arial" w:hAnsi="Arial" w:cs="Arial"/>
                <w:color w:val="000000" w:themeColor="text1"/>
                <w:sz w:val="20"/>
                <w:szCs w:val="20"/>
              </w:rPr>
            </w:pPr>
            <w:r>
              <w:rPr>
                <w:rFonts w:ascii="Arial" w:hAnsi="Arial" w:cs="Arial"/>
                <w:color w:val="000000" w:themeColor="text1"/>
                <w:sz w:val="20"/>
                <w:szCs w:val="20"/>
              </w:rPr>
              <w:t xml:space="preserve">Dr Terri Cole </w:t>
            </w:r>
            <w:r w:rsidRPr="00A90090">
              <w:rPr>
                <w:rFonts w:ascii="Arial" w:hAnsi="Arial" w:cs="Arial"/>
                <w:color w:val="000000" w:themeColor="text1"/>
                <w:sz w:val="16"/>
                <w:szCs w:val="16"/>
              </w:rPr>
              <w:t>[Agenda Item 4.2.2]</w:t>
            </w:r>
          </w:p>
          <w:p w:rsidR="00060B94" w:rsidRDefault="00060B94" w:rsidP="00257EE7">
            <w:pPr>
              <w:jc w:val="both"/>
              <w:rPr>
                <w:rFonts w:ascii="Arial" w:hAnsi="Arial" w:cs="Arial"/>
                <w:color w:val="000000" w:themeColor="text1"/>
                <w:sz w:val="20"/>
                <w:szCs w:val="20"/>
              </w:rPr>
            </w:pPr>
            <w:r>
              <w:rPr>
                <w:rFonts w:ascii="Arial" w:hAnsi="Arial" w:cs="Arial"/>
                <w:color w:val="000000" w:themeColor="text1"/>
                <w:sz w:val="20"/>
                <w:szCs w:val="20"/>
              </w:rPr>
              <w:t xml:space="preserve">Dr Karen Fowler-Watt </w:t>
            </w:r>
            <w:r w:rsidRPr="00A90090">
              <w:rPr>
                <w:rFonts w:ascii="Arial" w:hAnsi="Arial" w:cs="Arial"/>
                <w:color w:val="000000" w:themeColor="text1"/>
                <w:sz w:val="16"/>
                <w:szCs w:val="16"/>
              </w:rPr>
              <w:t>[Agenda Item 4.2.1]</w:t>
            </w:r>
          </w:p>
          <w:p w:rsidR="00257EE7" w:rsidRDefault="00257EE7" w:rsidP="00257EE7">
            <w:pPr>
              <w:jc w:val="both"/>
              <w:rPr>
                <w:rFonts w:ascii="Arial" w:hAnsi="Arial" w:cs="Arial"/>
                <w:color w:val="000000" w:themeColor="text1"/>
                <w:sz w:val="20"/>
                <w:szCs w:val="20"/>
              </w:rPr>
            </w:pPr>
            <w:r>
              <w:rPr>
                <w:rFonts w:ascii="Arial" w:hAnsi="Arial" w:cs="Arial"/>
                <w:color w:val="000000" w:themeColor="text1"/>
                <w:sz w:val="20"/>
                <w:szCs w:val="20"/>
              </w:rPr>
              <w:t>Ms Maxine Frampton (Clerk)</w:t>
            </w:r>
          </w:p>
          <w:p w:rsidR="00060B94" w:rsidRDefault="00060B94" w:rsidP="00257EE7">
            <w:pPr>
              <w:jc w:val="both"/>
              <w:rPr>
                <w:rFonts w:ascii="Arial" w:hAnsi="Arial" w:cs="Arial"/>
                <w:color w:val="000000" w:themeColor="text1"/>
                <w:sz w:val="20"/>
                <w:szCs w:val="20"/>
              </w:rPr>
            </w:pPr>
            <w:r>
              <w:rPr>
                <w:rFonts w:ascii="Arial" w:hAnsi="Arial" w:cs="Arial"/>
                <w:color w:val="000000" w:themeColor="text1"/>
                <w:sz w:val="20"/>
                <w:szCs w:val="20"/>
              </w:rPr>
              <w:t xml:space="preserve">Mr Ricky Rogers </w:t>
            </w:r>
            <w:r w:rsidRPr="00A90090">
              <w:rPr>
                <w:rFonts w:ascii="Arial" w:hAnsi="Arial" w:cs="Arial"/>
                <w:color w:val="000000" w:themeColor="text1"/>
                <w:sz w:val="16"/>
                <w:szCs w:val="16"/>
              </w:rPr>
              <w:t>[Agenda Item 3.1]</w:t>
            </w:r>
          </w:p>
          <w:p w:rsidR="00060B94" w:rsidRPr="00AD2767" w:rsidRDefault="00060B94" w:rsidP="00257EE7">
            <w:pPr>
              <w:jc w:val="both"/>
              <w:rPr>
                <w:rFonts w:ascii="Arial" w:hAnsi="Arial" w:cs="Arial"/>
                <w:color w:val="000000" w:themeColor="text1"/>
                <w:sz w:val="20"/>
                <w:szCs w:val="20"/>
              </w:rPr>
            </w:pPr>
            <w:r>
              <w:rPr>
                <w:rFonts w:ascii="Arial" w:hAnsi="Arial" w:cs="Arial"/>
                <w:color w:val="000000" w:themeColor="text1"/>
                <w:sz w:val="20"/>
                <w:szCs w:val="20"/>
              </w:rPr>
              <w:t xml:space="preserve">Dr Liam Sheridan </w:t>
            </w:r>
            <w:r w:rsidRPr="00A90090">
              <w:rPr>
                <w:rFonts w:ascii="Arial" w:hAnsi="Arial" w:cs="Arial"/>
                <w:color w:val="000000" w:themeColor="text1"/>
                <w:sz w:val="16"/>
                <w:szCs w:val="16"/>
              </w:rPr>
              <w:t>[Agenda Item 3.1 &amp; 3.2]</w:t>
            </w:r>
          </w:p>
          <w:p w:rsidR="00257EE7" w:rsidRDefault="00A90090" w:rsidP="00257EE7">
            <w:pPr>
              <w:jc w:val="both"/>
              <w:rPr>
                <w:rFonts w:ascii="Arial" w:hAnsi="Arial" w:cs="Arial"/>
                <w:color w:val="000000" w:themeColor="text1"/>
                <w:sz w:val="20"/>
                <w:szCs w:val="20"/>
              </w:rPr>
            </w:pPr>
            <w:r>
              <w:rPr>
                <w:rFonts w:ascii="Arial" w:hAnsi="Arial" w:cs="Arial"/>
                <w:color w:val="000000" w:themeColor="text1"/>
                <w:sz w:val="20"/>
                <w:szCs w:val="20"/>
              </w:rPr>
              <w:t>Dr Sara White</w:t>
            </w:r>
          </w:p>
          <w:p w:rsidR="00257EE7" w:rsidRDefault="00257EE7" w:rsidP="00257EE7">
            <w:pPr>
              <w:jc w:val="both"/>
              <w:rPr>
                <w:rFonts w:ascii="Arial" w:hAnsi="Arial" w:cs="Arial"/>
                <w:color w:val="000000" w:themeColor="text1"/>
                <w:sz w:val="20"/>
                <w:szCs w:val="20"/>
              </w:rPr>
            </w:pPr>
          </w:p>
          <w:p w:rsidR="00CB65C6" w:rsidRPr="009325AC" w:rsidRDefault="00CB65C6" w:rsidP="00257EE7">
            <w:pPr>
              <w:jc w:val="both"/>
              <w:rPr>
                <w:rFonts w:ascii="Arial" w:hAnsi="Arial" w:cs="Arial"/>
                <w:color w:val="000000" w:themeColor="text1"/>
                <w:sz w:val="20"/>
                <w:szCs w:val="20"/>
              </w:rPr>
            </w:pPr>
          </w:p>
        </w:tc>
        <w:tc>
          <w:tcPr>
            <w:tcW w:w="6237" w:type="dxa"/>
          </w:tcPr>
          <w:p w:rsidR="00257EE7" w:rsidRDefault="00257EE7" w:rsidP="00257EE7">
            <w:pPr>
              <w:ind w:right="-250"/>
              <w:rPr>
                <w:rFonts w:ascii="Arial" w:hAnsi="Arial" w:cs="Arial"/>
                <w:color w:val="000000" w:themeColor="text1"/>
                <w:sz w:val="20"/>
                <w:szCs w:val="20"/>
              </w:rPr>
            </w:pPr>
          </w:p>
          <w:p w:rsidR="00060B94" w:rsidRDefault="00060B94" w:rsidP="00AD2767">
            <w:pPr>
              <w:ind w:right="-250"/>
              <w:rPr>
                <w:rFonts w:ascii="Arial" w:hAnsi="Arial" w:cs="Arial"/>
                <w:color w:val="000000" w:themeColor="text1"/>
                <w:sz w:val="20"/>
                <w:szCs w:val="20"/>
              </w:rPr>
            </w:pPr>
            <w:r>
              <w:rPr>
                <w:rFonts w:ascii="Arial" w:hAnsi="Arial" w:cs="Arial"/>
                <w:color w:val="000000" w:themeColor="text1"/>
                <w:sz w:val="20"/>
                <w:szCs w:val="20"/>
              </w:rPr>
              <w:t>Principal Academic (FM)</w:t>
            </w:r>
          </w:p>
          <w:p w:rsidR="00060B94" w:rsidRDefault="00060B94" w:rsidP="00AD2767">
            <w:pPr>
              <w:ind w:right="-250"/>
              <w:rPr>
                <w:rFonts w:ascii="Arial" w:hAnsi="Arial" w:cs="Arial"/>
                <w:color w:val="000000" w:themeColor="text1"/>
                <w:sz w:val="20"/>
                <w:szCs w:val="20"/>
              </w:rPr>
            </w:pPr>
            <w:r>
              <w:rPr>
                <w:rFonts w:ascii="Arial" w:hAnsi="Arial" w:cs="Arial"/>
                <w:color w:val="000000" w:themeColor="text1"/>
                <w:sz w:val="20"/>
                <w:szCs w:val="20"/>
              </w:rPr>
              <w:t>Senior Lecturer in Forensic Psychology (FST)</w:t>
            </w:r>
          </w:p>
          <w:p w:rsidR="00060B94" w:rsidRDefault="00060B94" w:rsidP="00AD2767">
            <w:pPr>
              <w:ind w:right="-250"/>
              <w:rPr>
                <w:rFonts w:ascii="Arial" w:hAnsi="Arial" w:cs="Arial"/>
                <w:color w:val="000000" w:themeColor="text1"/>
                <w:sz w:val="20"/>
                <w:szCs w:val="20"/>
              </w:rPr>
            </w:pPr>
            <w:r>
              <w:rPr>
                <w:rFonts w:ascii="Arial" w:hAnsi="Arial" w:cs="Arial"/>
                <w:color w:val="000000" w:themeColor="text1"/>
                <w:sz w:val="20"/>
                <w:szCs w:val="20"/>
              </w:rPr>
              <w:t>Head of School of Journalism, English &amp; Communication (FMC)</w:t>
            </w:r>
          </w:p>
          <w:p w:rsidR="00257EE7" w:rsidRDefault="00257EE7" w:rsidP="00AD2767">
            <w:pPr>
              <w:ind w:right="-250"/>
              <w:rPr>
                <w:rFonts w:ascii="Arial" w:hAnsi="Arial" w:cs="Arial"/>
                <w:color w:val="000000" w:themeColor="text1"/>
                <w:sz w:val="20"/>
                <w:szCs w:val="20"/>
              </w:rPr>
            </w:pPr>
            <w:r>
              <w:rPr>
                <w:rFonts w:ascii="Arial" w:hAnsi="Arial" w:cs="Arial"/>
                <w:color w:val="000000" w:themeColor="text1"/>
                <w:sz w:val="20"/>
                <w:szCs w:val="20"/>
              </w:rPr>
              <w:t>Policy &amp; Committees Officer (AS)</w:t>
            </w:r>
            <w:r w:rsidRPr="009325AC">
              <w:rPr>
                <w:rFonts w:ascii="Arial" w:hAnsi="Arial" w:cs="Arial"/>
                <w:color w:val="000000" w:themeColor="text1"/>
                <w:sz w:val="20"/>
                <w:szCs w:val="20"/>
              </w:rPr>
              <w:t xml:space="preserve"> </w:t>
            </w:r>
          </w:p>
          <w:p w:rsidR="00060B94" w:rsidRDefault="00060B94" w:rsidP="00AD2767">
            <w:pPr>
              <w:ind w:right="-250"/>
              <w:rPr>
                <w:rFonts w:ascii="Arial" w:hAnsi="Arial" w:cs="Arial"/>
                <w:color w:val="000000" w:themeColor="text1"/>
                <w:sz w:val="20"/>
                <w:szCs w:val="20"/>
              </w:rPr>
            </w:pPr>
            <w:r>
              <w:rPr>
                <w:rFonts w:ascii="Arial" w:hAnsi="Arial" w:cs="Arial"/>
                <w:color w:val="000000" w:themeColor="text1"/>
                <w:sz w:val="20"/>
                <w:szCs w:val="20"/>
              </w:rPr>
              <w:t>Educational Development &amp; Quality Officer (AS)</w:t>
            </w:r>
          </w:p>
          <w:p w:rsidR="00060B94" w:rsidRDefault="00060B94" w:rsidP="00AD2767">
            <w:pPr>
              <w:ind w:right="-250"/>
              <w:rPr>
                <w:rFonts w:ascii="Arial" w:hAnsi="Arial" w:cs="Arial"/>
                <w:color w:val="000000" w:themeColor="text1"/>
                <w:sz w:val="20"/>
                <w:szCs w:val="20"/>
              </w:rPr>
            </w:pPr>
            <w:r>
              <w:rPr>
                <w:rFonts w:ascii="Arial" w:hAnsi="Arial" w:cs="Arial"/>
                <w:color w:val="000000" w:themeColor="text1"/>
                <w:sz w:val="20"/>
                <w:szCs w:val="20"/>
              </w:rPr>
              <w:t>Academic Business Intelligence Manager (AS)</w:t>
            </w:r>
          </w:p>
          <w:p w:rsidR="00A90090" w:rsidRPr="00CB65C6" w:rsidRDefault="00CB65C6" w:rsidP="00AD2767">
            <w:pPr>
              <w:ind w:right="-250"/>
              <w:rPr>
                <w:rFonts w:ascii="Arial" w:hAnsi="Arial" w:cs="Arial"/>
                <w:color w:val="000000" w:themeColor="text1"/>
                <w:sz w:val="20"/>
                <w:szCs w:val="20"/>
              </w:rPr>
            </w:pPr>
            <w:r>
              <w:rPr>
                <w:rFonts w:ascii="Arial" w:hAnsi="Arial" w:cs="Arial"/>
                <w:color w:val="000000" w:themeColor="text1"/>
                <w:sz w:val="20"/>
                <w:szCs w:val="20"/>
              </w:rPr>
              <w:t>Associate Dean, Student Experience (FHSS)</w:t>
            </w:r>
          </w:p>
        </w:tc>
        <w:tc>
          <w:tcPr>
            <w:tcW w:w="3969" w:type="dxa"/>
          </w:tcPr>
          <w:p w:rsidR="00257EE7" w:rsidRPr="009325AC" w:rsidRDefault="00257EE7" w:rsidP="00257EE7">
            <w:pPr>
              <w:ind w:left="318"/>
              <w:jc w:val="both"/>
              <w:rPr>
                <w:rFonts w:ascii="Arial" w:hAnsi="Arial" w:cs="Arial"/>
                <w:color w:val="000000" w:themeColor="text1"/>
                <w:sz w:val="20"/>
                <w:szCs w:val="20"/>
              </w:rPr>
            </w:pPr>
          </w:p>
        </w:tc>
        <w:tc>
          <w:tcPr>
            <w:tcW w:w="4757" w:type="dxa"/>
          </w:tcPr>
          <w:p w:rsidR="00257EE7" w:rsidRPr="0007677C" w:rsidRDefault="00257EE7" w:rsidP="00257EE7">
            <w:pPr>
              <w:rPr>
                <w:rFonts w:ascii="Arial" w:hAnsi="Arial" w:cs="Arial"/>
                <w:sz w:val="20"/>
                <w:szCs w:val="20"/>
              </w:rPr>
            </w:pPr>
          </w:p>
        </w:tc>
      </w:tr>
    </w:tbl>
    <w:p w:rsidR="00257EE7" w:rsidRPr="009325AC" w:rsidRDefault="00257EE7" w:rsidP="00AD2767">
      <w:pPr>
        <w:numPr>
          <w:ilvl w:val="0"/>
          <w:numId w:val="1"/>
        </w:numPr>
        <w:ind w:left="0" w:right="-22" w:firstLine="142"/>
        <w:jc w:val="both"/>
        <w:rPr>
          <w:rFonts w:ascii="Arial" w:hAnsi="Arial" w:cs="Arial"/>
          <w:b/>
          <w:color w:val="000000" w:themeColor="text1"/>
          <w:sz w:val="20"/>
          <w:szCs w:val="20"/>
        </w:rPr>
      </w:pPr>
      <w:r w:rsidRPr="009325AC">
        <w:rPr>
          <w:rFonts w:ascii="Arial" w:hAnsi="Arial" w:cs="Arial"/>
          <w:b/>
          <w:color w:val="000000" w:themeColor="text1"/>
          <w:sz w:val="20"/>
          <w:szCs w:val="20"/>
        </w:rPr>
        <w:t>APOLOGIES</w:t>
      </w:r>
    </w:p>
    <w:p w:rsidR="00257EE7" w:rsidRPr="009325AC" w:rsidRDefault="00257EE7" w:rsidP="00257EE7">
      <w:pPr>
        <w:ind w:right="-22" w:firstLine="720"/>
        <w:jc w:val="both"/>
        <w:rPr>
          <w:rFonts w:ascii="Arial" w:hAnsi="Arial" w:cs="Arial"/>
          <w:color w:val="000000" w:themeColor="text1"/>
          <w:sz w:val="20"/>
          <w:szCs w:val="20"/>
        </w:rPr>
      </w:pPr>
    </w:p>
    <w:p w:rsidR="00257EE7" w:rsidRPr="009325AC" w:rsidRDefault="00257EE7" w:rsidP="00AD2767">
      <w:pPr>
        <w:ind w:right="-22" w:firstLine="142"/>
        <w:jc w:val="both"/>
        <w:rPr>
          <w:rFonts w:ascii="Arial" w:hAnsi="Arial" w:cs="Arial"/>
          <w:color w:val="000000" w:themeColor="text1"/>
          <w:sz w:val="20"/>
          <w:szCs w:val="20"/>
        </w:rPr>
      </w:pPr>
      <w:r w:rsidRPr="009325AC">
        <w:rPr>
          <w:rFonts w:ascii="Arial" w:hAnsi="Arial" w:cs="Arial"/>
          <w:color w:val="000000" w:themeColor="text1"/>
          <w:sz w:val="20"/>
          <w:szCs w:val="20"/>
        </w:rPr>
        <w:t>Apologies were received from:</w:t>
      </w: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3041"/>
        <w:gridCol w:w="5168"/>
        <w:gridCol w:w="491"/>
        <w:gridCol w:w="142"/>
      </w:tblGrid>
      <w:tr w:rsidR="00257EE7" w:rsidRPr="009325AC" w:rsidTr="00CB65C6">
        <w:trPr>
          <w:gridAfter w:val="1"/>
          <w:wAfter w:w="142" w:type="dxa"/>
          <w:trHeight w:val="1360"/>
        </w:trPr>
        <w:tc>
          <w:tcPr>
            <w:tcW w:w="3980" w:type="dxa"/>
            <w:gridSpan w:val="2"/>
          </w:tcPr>
          <w:p w:rsidR="00257EE7" w:rsidRDefault="00257EE7" w:rsidP="00257EE7">
            <w:pPr>
              <w:jc w:val="both"/>
              <w:rPr>
                <w:rFonts w:ascii="Arial" w:hAnsi="Arial" w:cs="Arial"/>
                <w:color w:val="000000" w:themeColor="text1"/>
                <w:sz w:val="20"/>
                <w:szCs w:val="20"/>
              </w:rPr>
            </w:pPr>
          </w:p>
          <w:p w:rsidR="00257EE7" w:rsidRDefault="00257EE7" w:rsidP="00257EE7">
            <w:pPr>
              <w:jc w:val="both"/>
              <w:rPr>
                <w:rFonts w:ascii="Arial" w:hAnsi="Arial" w:cs="Arial"/>
                <w:color w:val="000000" w:themeColor="text1"/>
                <w:sz w:val="20"/>
                <w:szCs w:val="20"/>
              </w:rPr>
            </w:pPr>
            <w:r>
              <w:rPr>
                <w:rFonts w:ascii="Arial" w:hAnsi="Arial" w:cs="Arial"/>
                <w:color w:val="000000" w:themeColor="text1"/>
                <w:sz w:val="20"/>
                <w:szCs w:val="20"/>
              </w:rPr>
              <w:t>Ms Ellie Mayo-Ward</w:t>
            </w:r>
          </w:p>
          <w:p w:rsidR="00AD2767" w:rsidRDefault="00AD2767" w:rsidP="00257EE7">
            <w:pPr>
              <w:jc w:val="both"/>
              <w:rPr>
                <w:rFonts w:ascii="Arial" w:hAnsi="Arial" w:cs="Arial"/>
                <w:color w:val="000000" w:themeColor="text1"/>
                <w:sz w:val="20"/>
                <w:szCs w:val="20"/>
              </w:rPr>
            </w:pPr>
            <w:r>
              <w:rPr>
                <w:rFonts w:ascii="Arial" w:hAnsi="Arial" w:cs="Arial"/>
                <w:color w:val="000000" w:themeColor="text1"/>
                <w:sz w:val="20"/>
                <w:szCs w:val="20"/>
              </w:rPr>
              <w:t>Prof Elizabeth Rosser</w:t>
            </w:r>
          </w:p>
          <w:p w:rsidR="00257EE7" w:rsidRPr="009325AC" w:rsidRDefault="00257EE7" w:rsidP="00060B94">
            <w:pPr>
              <w:jc w:val="both"/>
              <w:rPr>
                <w:rFonts w:ascii="Arial" w:hAnsi="Arial" w:cs="Arial"/>
                <w:color w:val="000000" w:themeColor="text1"/>
                <w:sz w:val="20"/>
                <w:szCs w:val="20"/>
              </w:rPr>
            </w:pPr>
            <w:r>
              <w:rPr>
                <w:rFonts w:ascii="Arial" w:hAnsi="Arial" w:cs="Arial"/>
                <w:color w:val="000000" w:themeColor="text1"/>
                <w:sz w:val="20"/>
                <w:szCs w:val="20"/>
              </w:rPr>
              <w:t>Prof Tiantian Zhang</w:t>
            </w:r>
          </w:p>
        </w:tc>
        <w:tc>
          <w:tcPr>
            <w:tcW w:w="5659" w:type="dxa"/>
            <w:gridSpan w:val="2"/>
          </w:tcPr>
          <w:p w:rsidR="00257EE7" w:rsidRDefault="00257EE7" w:rsidP="00257EE7">
            <w:pPr>
              <w:ind w:right="-250"/>
              <w:rPr>
                <w:rFonts w:ascii="Arial" w:hAnsi="Arial" w:cs="Arial"/>
                <w:color w:val="000000" w:themeColor="text1"/>
                <w:sz w:val="20"/>
                <w:szCs w:val="20"/>
              </w:rPr>
            </w:pPr>
          </w:p>
          <w:p w:rsidR="00257EE7" w:rsidRDefault="00257EE7" w:rsidP="00257EE7">
            <w:pPr>
              <w:ind w:right="-250"/>
              <w:rPr>
                <w:rFonts w:ascii="Arial" w:hAnsi="Arial" w:cs="Arial"/>
                <w:color w:val="000000" w:themeColor="text1"/>
                <w:sz w:val="20"/>
                <w:szCs w:val="20"/>
              </w:rPr>
            </w:pPr>
            <w:r>
              <w:rPr>
                <w:rFonts w:ascii="Arial" w:hAnsi="Arial" w:cs="Arial"/>
                <w:color w:val="000000" w:themeColor="text1"/>
                <w:sz w:val="20"/>
                <w:szCs w:val="20"/>
              </w:rPr>
              <w:t>Vice President (Education) 2015/16, Students’ Union (SUBU)</w:t>
            </w:r>
          </w:p>
          <w:p w:rsidR="00AD2767" w:rsidRDefault="00AD2767" w:rsidP="00AD2767">
            <w:pPr>
              <w:ind w:right="-250"/>
              <w:rPr>
                <w:rFonts w:ascii="Arial" w:hAnsi="Arial" w:cs="Arial"/>
                <w:color w:val="000000" w:themeColor="text1"/>
                <w:sz w:val="20"/>
                <w:szCs w:val="20"/>
              </w:rPr>
            </w:pPr>
            <w:r>
              <w:rPr>
                <w:rFonts w:ascii="Arial" w:hAnsi="Arial" w:cs="Arial"/>
                <w:color w:val="000000" w:themeColor="text1"/>
                <w:sz w:val="20"/>
                <w:szCs w:val="20"/>
              </w:rPr>
              <w:t>Deputy Dean – Education &amp; Professional Practice (</w:t>
            </w:r>
            <w:r w:rsidR="00CB65C6">
              <w:rPr>
                <w:rFonts w:ascii="Arial" w:hAnsi="Arial" w:cs="Arial"/>
                <w:color w:val="000000" w:themeColor="text1"/>
                <w:sz w:val="20"/>
                <w:szCs w:val="20"/>
              </w:rPr>
              <w:t>F</w:t>
            </w:r>
            <w:r>
              <w:rPr>
                <w:rFonts w:ascii="Arial" w:hAnsi="Arial" w:cs="Arial"/>
                <w:color w:val="000000" w:themeColor="text1"/>
                <w:sz w:val="20"/>
                <w:szCs w:val="20"/>
              </w:rPr>
              <w:t>HSS)</w:t>
            </w:r>
          </w:p>
          <w:p w:rsidR="00257EE7" w:rsidRDefault="00257EE7" w:rsidP="00060B94">
            <w:pPr>
              <w:ind w:right="-22"/>
              <w:rPr>
                <w:rFonts w:ascii="Arial" w:hAnsi="Arial" w:cs="Arial"/>
                <w:color w:val="000000" w:themeColor="text1"/>
                <w:sz w:val="20"/>
                <w:szCs w:val="20"/>
              </w:rPr>
            </w:pPr>
            <w:r>
              <w:rPr>
                <w:rFonts w:ascii="Arial" w:hAnsi="Arial" w:cs="Arial"/>
                <w:color w:val="000000" w:themeColor="text1"/>
                <w:sz w:val="20"/>
                <w:szCs w:val="20"/>
              </w:rPr>
              <w:t>Head of the Graduate School (GS)</w:t>
            </w:r>
          </w:p>
          <w:p w:rsidR="00CB65C6" w:rsidRDefault="00CB65C6" w:rsidP="00060B94">
            <w:pPr>
              <w:ind w:right="-22"/>
              <w:rPr>
                <w:rFonts w:ascii="Arial" w:hAnsi="Arial" w:cs="Arial"/>
                <w:color w:val="000000" w:themeColor="text1"/>
                <w:sz w:val="20"/>
                <w:szCs w:val="20"/>
              </w:rPr>
            </w:pPr>
          </w:p>
          <w:p w:rsidR="00CB65C6" w:rsidRPr="009325AC" w:rsidRDefault="00CB65C6" w:rsidP="00060B94">
            <w:pPr>
              <w:ind w:right="-22"/>
              <w:rPr>
                <w:rFonts w:ascii="Arial" w:hAnsi="Arial" w:cs="Arial"/>
                <w:color w:val="000000" w:themeColor="text1"/>
                <w:sz w:val="20"/>
                <w:szCs w:val="20"/>
              </w:rPr>
            </w:pPr>
          </w:p>
        </w:tc>
      </w:tr>
      <w:tr w:rsidR="00257EE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3" w:type="dxa"/>
        </w:trPr>
        <w:tc>
          <w:tcPr>
            <w:tcW w:w="939" w:type="dxa"/>
            <w:tcBorders>
              <w:top w:val="nil"/>
              <w:left w:val="nil"/>
              <w:bottom w:val="nil"/>
              <w:right w:val="nil"/>
            </w:tcBorders>
          </w:tcPr>
          <w:p w:rsidR="00257EE7" w:rsidRPr="00257EE7" w:rsidRDefault="00257EE7">
            <w:pPr>
              <w:rPr>
                <w:rFonts w:ascii="Arial" w:hAnsi="Arial" w:cs="Arial"/>
                <w:b/>
                <w:sz w:val="20"/>
                <w:szCs w:val="20"/>
              </w:rPr>
            </w:pPr>
            <w:r w:rsidRPr="00257EE7">
              <w:rPr>
                <w:rFonts w:ascii="Arial" w:hAnsi="Arial" w:cs="Arial"/>
                <w:b/>
                <w:sz w:val="20"/>
                <w:szCs w:val="20"/>
              </w:rPr>
              <w:t>2</w:t>
            </w:r>
          </w:p>
        </w:tc>
        <w:tc>
          <w:tcPr>
            <w:tcW w:w="8209" w:type="dxa"/>
            <w:gridSpan w:val="2"/>
            <w:tcBorders>
              <w:top w:val="nil"/>
              <w:left w:val="nil"/>
              <w:bottom w:val="nil"/>
              <w:right w:val="nil"/>
            </w:tcBorders>
          </w:tcPr>
          <w:p w:rsidR="00257EE7" w:rsidRPr="00257EE7" w:rsidRDefault="00257EE7" w:rsidP="00AD2767">
            <w:pPr>
              <w:ind w:right="-22"/>
              <w:jc w:val="both"/>
              <w:rPr>
                <w:rFonts w:ascii="Arial" w:hAnsi="Arial" w:cs="Arial"/>
                <w:b/>
                <w:sz w:val="20"/>
                <w:szCs w:val="20"/>
              </w:rPr>
            </w:pPr>
            <w:r w:rsidRPr="005303D5">
              <w:rPr>
                <w:rFonts w:ascii="Arial" w:hAnsi="Arial" w:cs="Arial"/>
                <w:b/>
                <w:sz w:val="20"/>
                <w:szCs w:val="20"/>
              </w:rPr>
              <w:t xml:space="preserve">MINUTES OF THE MEETING HELD ON </w:t>
            </w:r>
            <w:r w:rsidR="00AD2767">
              <w:rPr>
                <w:rFonts w:ascii="Arial" w:hAnsi="Arial" w:cs="Arial"/>
                <w:b/>
                <w:sz w:val="20"/>
                <w:szCs w:val="20"/>
              </w:rPr>
              <w:t>1</w:t>
            </w:r>
            <w:r w:rsidR="00AD2767" w:rsidRPr="00AD2767">
              <w:rPr>
                <w:rFonts w:ascii="Arial" w:hAnsi="Arial" w:cs="Arial"/>
                <w:b/>
                <w:sz w:val="20"/>
                <w:szCs w:val="20"/>
                <w:vertAlign w:val="superscript"/>
              </w:rPr>
              <w:t>ST</w:t>
            </w:r>
            <w:r w:rsidR="00AD2767">
              <w:rPr>
                <w:rFonts w:ascii="Arial" w:hAnsi="Arial" w:cs="Arial"/>
                <w:b/>
                <w:sz w:val="20"/>
                <w:szCs w:val="20"/>
              </w:rPr>
              <w:t xml:space="preserve"> DECEMBER </w:t>
            </w:r>
            <w:r>
              <w:rPr>
                <w:rFonts w:ascii="Arial" w:hAnsi="Arial" w:cs="Arial"/>
                <w:b/>
                <w:sz w:val="20"/>
                <w:szCs w:val="20"/>
              </w:rPr>
              <w:t>2015</w:t>
            </w:r>
          </w:p>
        </w:tc>
      </w:tr>
      <w:tr w:rsidR="00AD276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3" w:type="dxa"/>
        </w:trPr>
        <w:tc>
          <w:tcPr>
            <w:tcW w:w="939" w:type="dxa"/>
            <w:tcBorders>
              <w:top w:val="nil"/>
              <w:left w:val="nil"/>
              <w:bottom w:val="nil"/>
              <w:right w:val="nil"/>
            </w:tcBorders>
          </w:tcPr>
          <w:p w:rsidR="00AD2767" w:rsidRPr="00257EE7" w:rsidRDefault="00AD2767">
            <w:pPr>
              <w:rPr>
                <w:rFonts w:ascii="Arial" w:hAnsi="Arial" w:cs="Arial"/>
                <w:b/>
                <w:sz w:val="20"/>
                <w:szCs w:val="20"/>
              </w:rPr>
            </w:pPr>
          </w:p>
        </w:tc>
        <w:tc>
          <w:tcPr>
            <w:tcW w:w="8209" w:type="dxa"/>
            <w:gridSpan w:val="2"/>
            <w:tcBorders>
              <w:top w:val="nil"/>
              <w:left w:val="nil"/>
              <w:bottom w:val="nil"/>
              <w:right w:val="nil"/>
            </w:tcBorders>
          </w:tcPr>
          <w:p w:rsidR="00AD2767" w:rsidRPr="005303D5" w:rsidRDefault="00AD2767" w:rsidP="00257EE7">
            <w:pPr>
              <w:ind w:right="-22"/>
              <w:jc w:val="both"/>
              <w:rPr>
                <w:rFonts w:ascii="Arial" w:hAnsi="Arial" w:cs="Arial"/>
                <w:b/>
                <w:sz w:val="20"/>
                <w:szCs w:val="20"/>
              </w:rPr>
            </w:pPr>
          </w:p>
        </w:tc>
      </w:tr>
      <w:tr w:rsidR="00257EE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3" w:type="dxa"/>
        </w:trPr>
        <w:tc>
          <w:tcPr>
            <w:tcW w:w="939" w:type="dxa"/>
            <w:tcBorders>
              <w:top w:val="nil"/>
              <w:left w:val="nil"/>
              <w:bottom w:val="nil"/>
              <w:right w:val="nil"/>
            </w:tcBorders>
          </w:tcPr>
          <w:p w:rsidR="00257EE7" w:rsidRPr="00257EE7" w:rsidRDefault="00257EE7">
            <w:pPr>
              <w:rPr>
                <w:rFonts w:ascii="Arial" w:hAnsi="Arial" w:cs="Arial"/>
                <w:b/>
                <w:sz w:val="20"/>
                <w:szCs w:val="20"/>
              </w:rPr>
            </w:pPr>
            <w:r>
              <w:rPr>
                <w:rFonts w:ascii="Arial" w:hAnsi="Arial" w:cs="Arial"/>
                <w:b/>
                <w:sz w:val="20"/>
                <w:szCs w:val="20"/>
              </w:rPr>
              <w:t>2.1</w:t>
            </w:r>
          </w:p>
        </w:tc>
        <w:tc>
          <w:tcPr>
            <w:tcW w:w="8209" w:type="dxa"/>
            <w:gridSpan w:val="2"/>
            <w:tcBorders>
              <w:top w:val="nil"/>
              <w:left w:val="nil"/>
              <w:bottom w:val="nil"/>
              <w:right w:val="nil"/>
            </w:tcBorders>
          </w:tcPr>
          <w:p w:rsidR="00257EE7" w:rsidRDefault="00257EE7">
            <w:pPr>
              <w:rPr>
                <w:rFonts w:ascii="Arial" w:hAnsi="Arial" w:cs="Arial"/>
                <w:b/>
                <w:sz w:val="20"/>
                <w:szCs w:val="20"/>
              </w:rPr>
            </w:pPr>
            <w:r>
              <w:rPr>
                <w:rFonts w:ascii="Arial" w:hAnsi="Arial" w:cs="Arial"/>
                <w:b/>
                <w:sz w:val="20"/>
                <w:szCs w:val="20"/>
              </w:rPr>
              <w:t>Accuracy</w:t>
            </w:r>
          </w:p>
          <w:p w:rsidR="00E728B6" w:rsidRPr="00257EE7" w:rsidRDefault="00E728B6">
            <w:pPr>
              <w:rPr>
                <w:rFonts w:ascii="Arial" w:hAnsi="Arial" w:cs="Arial"/>
                <w:sz w:val="20"/>
                <w:szCs w:val="20"/>
              </w:rPr>
            </w:pPr>
          </w:p>
        </w:tc>
      </w:tr>
      <w:tr w:rsidR="00257EE7" w:rsidTr="001C1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EF778A" w:rsidRDefault="00E728B6">
            <w:pPr>
              <w:rPr>
                <w:rFonts w:ascii="Arial" w:hAnsi="Arial" w:cs="Arial"/>
                <w:sz w:val="20"/>
                <w:szCs w:val="20"/>
              </w:rPr>
            </w:pPr>
            <w:r>
              <w:rPr>
                <w:rFonts w:ascii="Arial" w:hAnsi="Arial" w:cs="Arial"/>
                <w:sz w:val="20"/>
                <w:szCs w:val="20"/>
              </w:rPr>
              <w:t>2.1.1</w:t>
            </w:r>
          </w:p>
          <w:p w:rsidR="00EF778A" w:rsidRDefault="00EF778A" w:rsidP="00EF778A">
            <w:pPr>
              <w:rPr>
                <w:rFonts w:ascii="Arial" w:hAnsi="Arial" w:cs="Arial"/>
                <w:sz w:val="20"/>
                <w:szCs w:val="20"/>
              </w:rPr>
            </w:pPr>
          </w:p>
          <w:p w:rsidR="00257EE7" w:rsidRPr="00EF778A" w:rsidRDefault="00EF778A" w:rsidP="00EF778A">
            <w:pPr>
              <w:rPr>
                <w:rFonts w:ascii="Arial" w:hAnsi="Arial" w:cs="Arial"/>
                <w:sz w:val="20"/>
                <w:szCs w:val="20"/>
              </w:rPr>
            </w:pPr>
            <w:r>
              <w:rPr>
                <w:rFonts w:ascii="Arial" w:hAnsi="Arial" w:cs="Arial"/>
                <w:sz w:val="20"/>
                <w:szCs w:val="20"/>
              </w:rPr>
              <w:t>2.1.2</w:t>
            </w:r>
          </w:p>
        </w:tc>
        <w:tc>
          <w:tcPr>
            <w:tcW w:w="8842" w:type="dxa"/>
            <w:gridSpan w:val="4"/>
            <w:tcBorders>
              <w:top w:val="nil"/>
              <w:left w:val="nil"/>
              <w:bottom w:val="nil"/>
              <w:right w:val="nil"/>
            </w:tcBorders>
          </w:tcPr>
          <w:p w:rsidR="00046C61" w:rsidRDefault="00257EE7" w:rsidP="00257EE7">
            <w:pPr>
              <w:ind w:left="34" w:right="-22"/>
              <w:jc w:val="both"/>
              <w:rPr>
                <w:rFonts w:ascii="Arial" w:hAnsi="Arial" w:cs="Arial"/>
                <w:sz w:val="20"/>
                <w:szCs w:val="20"/>
              </w:rPr>
            </w:pPr>
            <w:r w:rsidRPr="00A90090">
              <w:rPr>
                <w:rFonts w:ascii="Arial" w:hAnsi="Arial" w:cs="Arial"/>
                <w:sz w:val="20"/>
                <w:szCs w:val="20"/>
              </w:rPr>
              <w:t>The minutes (ASC-1516-</w:t>
            </w:r>
            <w:r w:rsidR="00AD2767" w:rsidRPr="00A90090">
              <w:rPr>
                <w:rFonts w:ascii="Arial" w:hAnsi="Arial" w:cs="Arial"/>
                <w:sz w:val="20"/>
                <w:szCs w:val="20"/>
              </w:rPr>
              <w:t>58</w:t>
            </w:r>
            <w:r w:rsidRPr="00A90090">
              <w:rPr>
                <w:rFonts w:ascii="Arial" w:hAnsi="Arial" w:cs="Arial"/>
                <w:sz w:val="20"/>
                <w:szCs w:val="20"/>
              </w:rPr>
              <w:t xml:space="preserve">) were approved as an accurate record.  </w:t>
            </w:r>
          </w:p>
          <w:p w:rsidR="00CB65C6" w:rsidRPr="00A90090" w:rsidRDefault="00CB65C6" w:rsidP="00257EE7">
            <w:pPr>
              <w:ind w:left="34" w:right="-22"/>
              <w:jc w:val="both"/>
              <w:rPr>
                <w:rFonts w:ascii="Arial" w:hAnsi="Arial" w:cs="Arial"/>
                <w:sz w:val="20"/>
                <w:szCs w:val="20"/>
              </w:rPr>
            </w:pPr>
          </w:p>
          <w:p w:rsidR="00257EE7" w:rsidRPr="001C17A6" w:rsidRDefault="001C17A6" w:rsidP="001C17A6">
            <w:pPr>
              <w:jc w:val="both"/>
              <w:rPr>
                <w:rFonts w:ascii="Arial" w:hAnsi="Arial" w:cs="Arial"/>
                <w:i/>
                <w:sz w:val="20"/>
                <w:szCs w:val="20"/>
              </w:rPr>
            </w:pPr>
            <w:r>
              <w:rPr>
                <w:rFonts w:ascii="Arial" w:hAnsi="Arial" w:cs="Arial"/>
                <w:i/>
                <w:sz w:val="20"/>
                <w:szCs w:val="20"/>
              </w:rPr>
              <w:t xml:space="preserve">[Post Meeting Note:  Amendment to Section 4.2.1.30 – The last sentence of the section should read “The programmes continued to have a strong employability ethos and links to relevant professional bodies, which had included a recent IED visit where the FST is the first UK University to have been awarded Chartered Technological Product Designer (CTPD) accreditation of the </w:t>
            </w:r>
            <w:proofErr w:type="spellStart"/>
            <w:r>
              <w:rPr>
                <w:rFonts w:ascii="Arial" w:hAnsi="Arial" w:cs="Arial"/>
                <w:i/>
                <w:sz w:val="20"/>
                <w:szCs w:val="20"/>
              </w:rPr>
              <w:t>MDes</w:t>
            </w:r>
            <w:proofErr w:type="spellEnd"/>
            <w:r>
              <w:rPr>
                <w:rFonts w:ascii="Arial" w:hAnsi="Arial" w:cs="Arial"/>
                <w:i/>
                <w:sz w:val="20"/>
                <w:szCs w:val="20"/>
              </w:rPr>
              <w:t xml:space="preserve"> course”].</w:t>
            </w:r>
          </w:p>
          <w:p w:rsidR="001C17A6" w:rsidRDefault="001C17A6">
            <w:pPr>
              <w:rPr>
                <w:rFonts w:ascii="Arial" w:hAnsi="Arial" w:cs="Arial"/>
                <w:sz w:val="20"/>
                <w:szCs w:val="20"/>
              </w:rPr>
            </w:pPr>
          </w:p>
        </w:tc>
      </w:tr>
      <w:tr w:rsidR="00257EE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3" w:type="dxa"/>
        </w:trPr>
        <w:tc>
          <w:tcPr>
            <w:tcW w:w="939" w:type="dxa"/>
            <w:tcBorders>
              <w:top w:val="nil"/>
              <w:left w:val="nil"/>
              <w:bottom w:val="nil"/>
              <w:right w:val="nil"/>
            </w:tcBorders>
          </w:tcPr>
          <w:p w:rsidR="00257EE7" w:rsidRPr="00257EE7" w:rsidRDefault="00257EE7">
            <w:pPr>
              <w:rPr>
                <w:rFonts w:ascii="Arial" w:hAnsi="Arial" w:cs="Arial"/>
                <w:sz w:val="20"/>
                <w:szCs w:val="20"/>
              </w:rPr>
            </w:pPr>
            <w:r>
              <w:rPr>
                <w:rFonts w:ascii="Arial" w:hAnsi="Arial" w:cs="Arial"/>
                <w:b/>
                <w:sz w:val="20"/>
                <w:szCs w:val="20"/>
              </w:rPr>
              <w:t>2.2</w:t>
            </w:r>
          </w:p>
        </w:tc>
        <w:tc>
          <w:tcPr>
            <w:tcW w:w="8209" w:type="dxa"/>
            <w:gridSpan w:val="2"/>
            <w:tcBorders>
              <w:top w:val="nil"/>
              <w:left w:val="nil"/>
              <w:bottom w:val="nil"/>
              <w:right w:val="nil"/>
            </w:tcBorders>
          </w:tcPr>
          <w:p w:rsidR="00257EE7" w:rsidRDefault="00257EE7">
            <w:pPr>
              <w:rPr>
                <w:rFonts w:ascii="Arial" w:hAnsi="Arial" w:cs="Arial"/>
                <w:sz w:val="20"/>
                <w:szCs w:val="20"/>
              </w:rPr>
            </w:pPr>
            <w:r w:rsidRPr="001F36F1">
              <w:rPr>
                <w:rFonts w:ascii="Arial" w:hAnsi="Arial" w:cs="Arial"/>
                <w:b/>
                <w:sz w:val="20"/>
                <w:szCs w:val="20"/>
              </w:rPr>
              <w:t xml:space="preserve">Matters Arising </w:t>
            </w:r>
            <w:r w:rsidRPr="001F36F1">
              <w:rPr>
                <w:rFonts w:ascii="Arial" w:hAnsi="Arial" w:cs="Arial"/>
                <w:sz w:val="20"/>
                <w:szCs w:val="20"/>
              </w:rPr>
              <w:t>(</w:t>
            </w:r>
            <w:r w:rsidR="00AD2767">
              <w:rPr>
                <w:rFonts w:ascii="Arial" w:hAnsi="Arial" w:cs="Arial"/>
                <w:sz w:val="20"/>
                <w:szCs w:val="20"/>
              </w:rPr>
              <w:t>ASC-1516-59)</w:t>
            </w:r>
          </w:p>
          <w:p w:rsidR="00E728B6" w:rsidRDefault="00E728B6">
            <w:pPr>
              <w:rPr>
                <w:rFonts w:ascii="Arial" w:hAnsi="Arial" w:cs="Arial"/>
                <w:sz w:val="20"/>
                <w:szCs w:val="20"/>
              </w:rPr>
            </w:pPr>
          </w:p>
        </w:tc>
      </w:tr>
      <w:tr w:rsidR="00257EE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257EE7" w:rsidRDefault="00257EE7">
            <w:pPr>
              <w:rPr>
                <w:rFonts w:ascii="Arial" w:hAnsi="Arial" w:cs="Arial"/>
                <w:sz w:val="20"/>
                <w:szCs w:val="20"/>
              </w:rPr>
            </w:pPr>
            <w:r>
              <w:rPr>
                <w:rFonts w:ascii="Arial" w:hAnsi="Arial" w:cs="Arial"/>
                <w:sz w:val="20"/>
                <w:szCs w:val="20"/>
              </w:rPr>
              <w:t>2.2.1</w:t>
            </w:r>
          </w:p>
        </w:tc>
        <w:tc>
          <w:tcPr>
            <w:tcW w:w="8842" w:type="dxa"/>
            <w:gridSpan w:val="4"/>
            <w:tcBorders>
              <w:top w:val="nil"/>
              <w:left w:val="nil"/>
              <w:bottom w:val="nil"/>
              <w:right w:val="nil"/>
            </w:tcBorders>
          </w:tcPr>
          <w:p w:rsidR="00257EE7" w:rsidRDefault="00AD2767" w:rsidP="00A941E4">
            <w:pPr>
              <w:ind w:right="-22"/>
              <w:jc w:val="both"/>
              <w:rPr>
                <w:rFonts w:ascii="Arial" w:hAnsi="Arial" w:cs="Arial"/>
                <w:color w:val="000000"/>
                <w:sz w:val="20"/>
                <w:szCs w:val="20"/>
              </w:rPr>
            </w:pPr>
            <w:r>
              <w:rPr>
                <w:rFonts w:ascii="Arial" w:hAnsi="Arial" w:cs="Arial"/>
                <w:color w:val="000000"/>
                <w:sz w:val="20"/>
                <w:szCs w:val="20"/>
                <w:u w:val="single"/>
              </w:rPr>
              <w:t>Minute</w:t>
            </w:r>
            <w:r w:rsidR="00A941E4">
              <w:rPr>
                <w:rFonts w:ascii="Arial" w:hAnsi="Arial" w:cs="Arial"/>
                <w:color w:val="000000"/>
                <w:sz w:val="20"/>
                <w:szCs w:val="20"/>
                <w:u w:val="single"/>
              </w:rPr>
              <w:t xml:space="preserve"> 2.2.4 - </w:t>
            </w:r>
            <w:r w:rsidR="00A941E4">
              <w:rPr>
                <w:rFonts w:ascii="Arial" w:hAnsi="Arial" w:cs="Arial"/>
                <w:sz w:val="20"/>
                <w:szCs w:val="20"/>
                <w:u w:val="single"/>
              </w:rPr>
              <w:t>Marketing &amp; Communications Annual Report – Overseas Partner Institution Website Audits</w:t>
            </w:r>
          </w:p>
          <w:p w:rsidR="00E728B6" w:rsidRDefault="00257EE7" w:rsidP="00F8421C">
            <w:pPr>
              <w:ind w:left="34" w:right="-22" w:hanging="34"/>
              <w:jc w:val="both"/>
              <w:rPr>
                <w:rFonts w:ascii="Arial" w:hAnsi="Arial" w:cs="Arial"/>
                <w:bCs/>
                <w:i/>
                <w:color w:val="000000"/>
                <w:sz w:val="20"/>
              </w:rPr>
            </w:pPr>
            <w:r>
              <w:rPr>
                <w:rFonts w:ascii="Arial" w:hAnsi="Arial" w:cs="Arial"/>
                <w:color w:val="000000"/>
                <w:sz w:val="20"/>
                <w:szCs w:val="20"/>
              </w:rPr>
              <w:tab/>
            </w:r>
            <w:r w:rsidR="00A941E4" w:rsidRPr="00A941E4">
              <w:rPr>
                <w:rFonts w:ascii="Arial" w:hAnsi="Arial" w:cs="Arial"/>
                <w:bCs/>
                <w:i/>
                <w:color w:val="000000"/>
                <w:sz w:val="20"/>
              </w:rPr>
              <w:t>From the next audit (Spring 2016) onwards, overseas Partner Institution websites that are non-English language w</w:t>
            </w:r>
            <w:r w:rsidR="00F8421C">
              <w:rPr>
                <w:rFonts w:ascii="Arial" w:hAnsi="Arial" w:cs="Arial"/>
                <w:bCs/>
                <w:i/>
                <w:color w:val="000000"/>
                <w:sz w:val="20"/>
              </w:rPr>
              <w:t xml:space="preserve">ould </w:t>
            </w:r>
            <w:r w:rsidR="00A941E4" w:rsidRPr="00A941E4">
              <w:rPr>
                <w:rFonts w:ascii="Arial" w:hAnsi="Arial" w:cs="Arial"/>
                <w:bCs/>
                <w:i/>
                <w:color w:val="000000"/>
                <w:sz w:val="20"/>
              </w:rPr>
              <w:t>be translated using available online translation tools (e.g. Google translate) and for any area of concern, translated by a staff native speaker or specialist agency.  Further co</w:t>
            </w:r>
            <w:r w:rsidR="00F8421C">
              <w:rPr>
                <w:rFonts w:ascii="Arial" w:hAnsi="Arial" w:cs="Arial"/>
                <w:bCs/>
                <w:i/>
                <w:color w:val="000000"/>
                <w:sz w:val="20"/>
              </w:rPr>
              <w:t>nsideration would</w:t>
            </w:r>
            <w:r w:rsidR="00A941E4" w:rsidRPr="00A941E4">
              <w:rPr>
                <w:rFonts w:ascii="Arial" w:hAnsi="Arial" w:cs="Arial"/>
                <w:bCs/>
                <w:i/>
                <w:color w:val="000000"/>
                <w:sz w:val="20"/>
              </w:rPr>
              <w:t xml:space="preserve"> be given to the matter of auditing printed non-English language material with further update to ASC in February 2016.  </w:t>
            </w:r>
          </w:p>
          <w:p w:rsidR="00D65FB9" w:rsidRDefault="00D65FB9" w:rsidP="00F8421C">
            <w:pPr>
              <w:ind w:left="34" w:right="-22" w:hanging="34"/>
              <w:jc w:val="both"/>
              <w:rPr>
                <w:rFonts w:ascii="Arial" w:hAnsi="Arial" w:cs="Arial"/>
                <w:bCs/>
                <w:i/>
                <w:color w:val="000000"/>
                <w:sz w:val="20"/>
              </w:rPr>
            </w:pPr>
          </w:p>
          <w:p w:rsidR="00D65FB9" w:rsidRDefault="00D65FB9" w:rsidP="00F8421C">
            <w:pPr>
              <w:ind w:left="34" w:right="-22" w:hanging="34"/>
              <w:jc w:val="both"/>
              <w:rPr>
                <w:rFonts w:ascii="Arial" w:hAnsi="Arial" w:cs="Arial"/>
                <w:bCs/>
                <w:i/>
                <w:color w:val="000000"/>
                <w:sz w:val="20"/>
              </w:rPr>
            </w:pPr>
          </w:p>
          <w:p w:rsidR="00D65FB9" w:rsidRDefault="00D65FB9" w:rsidP="00F8421C">
            <w:pPr>
              <w:ind w:right="-22"/>
              <w:jc w:val="both"/>
              <w:rPr>
                <w:rFonts w:ascii="Arial" w:hAnsi="Arial" w:cs="Arial"/>
                <w:b/>
                <w:color w:val="000000"/>
                <w:sz w:val="20"/>
                <w:szCs w:val="20"/>
              </w:rPr>
            </w:pPr>
          </w:p>
          <w:p w:rsidR="0030462E" w:rsidRDefault="0030462E" w:rsidP="00F8421C">
            <w:pPr>
              <w:ind w:right="-22"/>
              <w:jc w:val="both"/>
              <w:rPr>
                <w:rFonts w:ascii="Arial" w:hAnsi="Arial" w:cs="Arial"/>
                <w:color w:val="000000"/>
                <w:sz w:val="20"/>
                <w:szCs w:val="20"/>
              </w:rPr>
            </w:pPr>
            <w:r>
              <w:rPr>
                <w:rFonts w:ascii="Arial" w:hAnsi="Arial" w:cs="Arial"/>
                <w:b/>
                <w:color w:val="000000"/>
                <w:sz w:val="20"/>
                <w:szCs w:val="20"/>
              </w:rPr>
              <w:t xml:space="preserve">Action Ongoing:  </w:t>
            </w:r>
            <w:r>
              <w:rPr>
                <w:rFonts w:ascii="Arial" w:hAnsi="Arial" w:cs="Arial"/>
                <w:color w:val="000000"/>
                <w:sz w:val="20"/>
                <w:szCs w:val="20"/>
              </w:rPr>
              <w:t>Ms Fernandez had advised in the Action Log that the Marketing &amp; Communications Department (M&amp;C) had been i</w:t>
            </w:r>
            <w:r w:rsidR="00A941E4">
              <w:rPr>
                <w:rFonts w:ascii="Arial" w:hAnsi="Arial" w:cs="Arial"/>
                <w:color w:val="000000"/>
                <w:sz w:val="20"/>
                <w:szCs w:val="20"/>
              </w:rPr>
              <w:t xml:space="preserve">nvestigating </w:t>
            </w:r>
            <w:r>
              <w:rPr>
                <w:rFonts w:ascii="Arial" w:hAnsi="Arial" w:cs="Arial"/>
                <w:color w:val="000000"/>
                <w:sz w:val="20"/>
                <w:szCs w:val="20"/>
              </w:rPr>
              <w:t xml:space="preserve">the </w:t>
            </w:r>
            <w:r w:rsidR="00A941E4">
              <w:rPr>
                <w:rFonts w:ascii="Arial" w:hAnsi="Arial" w:cs="Arial"/>
                <w:color w:val="000000"/>
                <w:sz w:val="20"/>
                <w:szCs w:val="20"/>
              </w:rPr>
              <w:t>options for</w:t>
            </w:r>
            <w:r>
              <w:rPr>
                <w:rFonts w:ascii="Arial" w:hAnsi="Arial" w:cs="Arial"/>
                <w:color w:val="000000"/>
                <w:sz w:val="20"/>
                <w:szCs w:val="20"/>
              </w:rPr>
              <w:t xml:space="preserve"> the </w:t>
            </w:r>
            <w:r w:rsidR="00A941E4">
              <w:rPr>
                <w:rFonts w:ascii="Arial" w:hAnsi="Arial" w:cs="Arial"/>
                <w:color w:val="000000"/>
                <w:sz w:val="20"/>
                <w:szCs w:val="20"/>
              </w:rPr>
              <w:t xml:space="preserve">translation of </w:t>
            </w:r>
            <w:r>
              <w:rPr>
                <w:rFonts w:ascii="Arial" w:hAnsi="Arial" w:cs="Arial"/>
                <w:color w:val="000000"/>
                <w:sz w:val="20"/>
                <w:szCs w:val="20"/>
              </w:rPr>
              <w:t xml:space="preserve">the </w:t>
            </w:r>
            <w:r w:rsidR="00A941E4">
              <w:rPr>
                <w:rFonts w:ascii="Arial" w:hAnsi="Arial" w:cs="Arial"/>
                <w:color w:val="000000"/>
                <w:sz w:val="20"/>
                <w:szCs w:val="20"/>
              </w:rPr>
              <w:t>non-English material</w:t>
            </w:r>
            <w:r>
              <w:rPr>
                <w:rFonts w:ascii="Arial" w:hAnsi="Arial" w:cs="Arial"/>
                <w:color w:val="000000"/>
                <w:sz w:val="20"/>
                <w:szCs w:val="20"/>
              </w:rPr>
              <w:t xml:space="preserve"> on overseas Partner Institution websites. Various </w:t>
            </w:r>
            <w:r w:rsidR="00A941E4" w:rsidRPr="006E6FCC">
              <w:rPr>
                <w:rFonts w:ascii="Arial" w:hAnsi="Arial" w:cs="Arial"/>
                <w:color w:val="000000"/>
                <w:sz w:val="20"/>
                <w:szCs w:val="20"/>
              </w:rPr>
              <w:t>options ha</w:t>
            </w:r>
            <w:r w:rsidR="00F8421C">
              <w:rPr>
                <w:rFonts w:ascii="Arial" w:hAnsi="Arial" w:cs="Arial"/>
                <w:color w:val="000000"/>
                <w:sz w:val="20"/>
                <w:szCs w:val="20"/>
              </w:rPr>
              <w:t>d</w:t>
            </w:r>
            <w:r w:rsidR="00A941E4" w:rsidRPr="006E6FCC">
              <w:rPr>
                <w:rFonts w:ascii="Arial" w:hAnsi="Arial" w:cs="Arial"/>
                <w:color w:val="000000"/>
                <w:sz w:val="20"/>
                <w:szCs w:val="20"/>
              </w:rPr>
              <w:t xml:space="preserve"> been considered, </w:t>
            </w:r>
            <w:r>
              <w:rPr>
                <w:rFonts w:ascii="Arial" w:hAnsi="Arial" w:cs="Arial"/>
                <w:color w:val="000000"/>
                <w:sz w:val="20"/>
                <w:szCs w:val="20"/>
              </w:rPr>
              <w:t xml:space="preserve">however </w:t>
            </w:r>
            <w:r w:rsidR="00A941E4" w:rsidRPr="006E6FCC">
              <w:rPr>
                <w:rFonts w:ascii="Arial" w:hAnsi="Arial" w:cs="Arial"/>
                <w:color w:val="000000"/>
                <w:sz w:val="20"/>
                <w:szCs w:val="20"/>
              </w:rPr>
              <w:t>all ha</w:t>
            </w:r>
            <w:r>
              <w:rPr>
                <w:rFonts w:ascii="Arial" w:hAnsi="Arial" w:cs="Arial"/>
                <w:color w:val="000000"/>
                <w:sz w:val="20"/>
                <w:szCs w:val="20"/>
              </w:rPr>
              <w:t>d a</w:t>
            </w:r>
            <w:r w:rsidR="00A941E4" w:rsidRPr="006E6FCC">
              <w:rPr>
                <w:rFonts w:ascii="Arial" w:hAnsi="Arial" w:cs="Arial"/>
                <w:color w:val="000000"/>
                <w:sz w:val="20"/>
                <w:szCs w:val="20"/>
              </w:rPr>
              <w:t xml:space="preserve"> budget/resource implication. </w:t>
            </w:r>
            <w:r>
              <w:rPr>
                <w:rFonts w:ascii="Arial" w:hAnsi="Arial" w:cs="Arial"/>
                <w:color w:val="000000"/>
                <w:sz w:val="20"/>
                <w:szCs w:val="20"/>
              </w:rPr>
              <w:t xml:space="preserve"> The p</w:t>
            </w:r>
            <w:r w:rsidR="00A941E4" w:rsidRPr="006E6FCC">
              <w:rPr>
                <w:rFonts w:ascii="Arial" w:hAnsi="Arial" w:cs="Arial"/>
                <w:color w:val="000000"/>
                <w:sz w:val="20"/>
                <w:szCs w:val="20"/>
              </w:rPr>
              <w:t xml:space="preserve">referred solution </w:t>
            </w:r>
            <w:r>
              <w:rPr>
                <w:rFonts w:ascii="Arial" w:hAnsi="Arial" w:cs="Arial"/>
                <w:color w:val="000000"/>
                <w:sz w:val="20"/>
                <w:szCs w:val="20"/>
              </w:rPr>
              <w:t xml:space="preserve">had </w:t>
            </w:r>
            <w:r w:rsidR="00A941E4" w:rsidRPr="006E6FCC">
              <w:rPr>
                <w:rFonts w:ascii="Arial" w:hAnsi="Arial" w:cs="Arial"/>
                <w:color w:val="000000"/>
                <w:sz w:val="20"/>
                <w:szCs w:val="20"/>
              </w:rPr>
              <w:t>now</w:t>
            </w:r>
            <w:r>
              <w:rPr>
                <w:rFonts w:ascii="Arial" w:hAnsi="Arial" w:cs="Arial"/>
                <w:color w:val="000000"/>
                <w:sz w:val="20"/>
                <w:szCs w:val="20"/>
              </w:rPr>
              <w:t xml:space="preserve"> been identified and would </w:t>
            </w:r>
            <w:r w:rsidR="00A941E4" w:rsidRPr="006E6FCC">
              <w:rPr>
                <w:rFonts w:ascii="Arial" w:hAnsi="Arial" w:cs="Arial"/>
                <w:color w:val="000000"/>
                <w:sz w:val="20"/>
                <w:szCs w:val="20"/>
              </w:rPr>
              <w:t>be phased into the audit schedule, following further discussion with</w:t>
            </w:r>
            <w:r w:rsidR="00442EAD">
              <w:rPr>
                <w:rFonts w:ascii="Arial" w:hAnsi="Arial" w:cs="Arial"/>
                <w:color w:val="000000"/>
                <w:sz w:val="20"/>
                <w:szCs w:val="20"/>
              </w:rPr>
              <w:t xml:space="preserve"> the</w:t>
            </w:r>
            <w:r w:rsidR="00A941E4" w:rsidRPr="006E6FCC">
              <w:rPr>
                <w:rFonts w:ascii="Arial" w:hAnsi="Arial" w:cs="Arial"/>
                <w:color w:val="000000"/>
                <w:sz w:val="20"/>
                <w:szCs w:val="20"/>
              </w:rPr>
              <w:t xml:space="preserve"> Academic Partnerships team.</w:t>
            </w:r>
            <w:r>
              <w:rPr>
                <w:rFonts w:ascii="Arial" w:hAnsi="Arial" w:cs="Arial"/>
                <w:color w:val="000000"/>
                <w:sz w:val="20"/>
                <w:szCs w:val="20"/>
              </w:rPr>
              <w:t xml:space="preserve"> Ms Fernandez was requested to provide an update to Prof McIntyre-Bhatty before the next meeting in April.</w:t>
            </w:r>
          </w:p>
          <w:p w:rsidR="00CB65C6" w:rsidRDefault="0030462E" w:rsidP="00CB65C6">
            <w:pPr>
              <w:ind w:right="-22"/>
              <w:jc w:val="right"/>
              <w:rPr>
                <w:rFonts w:ascii="Arial" w:hAnsi="Arial" w:cs="Arial"/>
                <w:sz w:val="20"/>
                <w:szCs w:val="20"/>
              </w:rPr>
            </w:pPr>
            <w:r>
              <w:rPr>
                <w:rFonts w:ascii="Arial" w:hAnsi="Arial" w:cs="Arial"/>
                <w:b/>
                <w:color w:val="000000"/>
                <w:sz w:val="20"/>
                <w:szCs w:val="20"/>
              </w:rPr>
              <w:t>Action:  AF</w:t>
            </w:r>
          </w:p>
        </w:tc>
      </w:tr>
      <w:tr w:rsidR="00257EE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257EE7" w:rsidRDefault="00257EE7">
            <w:pPr>
              <w:rPr>
                <w:rFonts w:ascii="Arial" w:hAnsi="Arial" w:cs="Arial"/>
                <w:sz w:val="20"/>
                <w:szCs w:val="20"/>
              </w:rPr>
            </w:pPr>
            <w:r>
              <w:rPr>
                <w:rFonts w:ascii="Arial" w:hAnsi="Arial" w:cs="Arial"/>
                <w:sz w:val="20"/>
                <w:szCs w:val="20"/>
              </w:rPr>
              <w:lastRenderedPageBreak/>
              <w:t>2.2.2</w:t>
            </w:r>
          </w:p>
        </w:tc>
        <w:tc>
          <w:tcPr>
            <w:tcW w:w="8842" w:type="dxa"/>
            <w:gridSpan w:val="4"/>
            <w:tcBorders>
              <w:top w:val="nil"/>
              <w:left w:val="nil"/>
              <w:bottom w:val="nil"/>
              <w:right w:val="nil"/>
            </w:tcBorders>
          </w:tcPr>
          <w:p w:rsidR="00257EE7" w:rsidRDefault="00257EE7" w:rsidP="00257EE7">
            <w:pPr>
              <w:ind w:left="720" w:right="-22" w:hanging="720"/>
              <w:jc w:val="both"/>
              <w:rPr>
                <w:rFonts w:ascii="Arial" w:hAnsi="Arial" w:cs="Arial"/>
                <w:color w:val="000000"/>
                <w:sz w:val="20"/>
                <w:szCs w:val="20"/>
              </w:rPr>
            </w:pPr>
            <w:r>
              <w:rPr>
                <w:rFonts w:ascii="Arial" w:hAnsi="Arial" w:cs="Arial"/>
                <w:color w:val="000000"/>
                <w:sz w:val="20"/>
                <w:szCs w:val="20"/>
                <w:u w:val="single"/>
              </w:rPr>
              <w:t>Minute</w:t>
            </w:r>
            <w:r w:rsidR="00A941E4">
              <w:rPr>
                <w:rFonts w:ascii="Arial" w:hAnsi="Arial" w:cs="Arial"/>
                <w:color w:val="000000"/>
                <w:sz w:val="20"/>
                <w:szCs w:val="20"/>
                <w:u w:val="single"/>
              </w:rPr>
              <w:t xml:space="preserve"> 2.2.5 – Marketing &amp; Communications Annual Report</w:t>
            </w:r>
          </w:p>
          <w:p w:rsidR="00C756A6" w:rsidRDefault="00A941E4" w:rsidP="00F8421C">
            <w:pPr>
              <w:ind w:right="-22"/>
              <w:jc w:val="both"/>
              <w:rPr>
                <w:rFonts w:ascii="Arial" w:hAnsi="Arial" w:cs="Arial"/>
                <w:i/>
                <w:color w:val="000000"/>
                <w:sz w:val="20"/>
                <w:szCs w:val="20"/>
              </w:rPr>
            </w:pPr>
            <w:r w:rsidRPr="00A941E4">
              <w:rPr>
                <w:rFonts w:ascii="Arial" w:hAnsi="Arial" w:cs="Arial"/>
                <w:i/>
                <w:sz w:val="20"/>
                <w:szCs w:val="20"/>
              </w:rPr>
              <w:t xml:space="preserve">The bullet points listed on page 8 of the report listed the items audited in the summer/audit.  </w:t>
            </w:r>
            <w:r w:rsidRPr="00A941E4">
              <w:rPr>
                <w:rFonts w:ascii="Arial" w:hAnsi="Arial" w:cs="Arial"/>
                <w:i/>
                <w:color w:val="000000"/>
                <w:sz w:val="20"/>
                <w:szCs w:val="20"/>
              </w:rPr>
              <w:t>Ms Fernandez has diarized this action for completion in February 2016.</w:t>
            </w:r>
          </w:p>
          <w:p w:rsidR="00CB65C6" w:rsidRDefault="00A941E4" w:rsidP="00F8421C">
            <w:pPr>
              <w:ind w:right="-22"/>
              <w:jc w:val="both"/>
              <w:rPr>
                <w:rFonts w:ascii="Arial" w:hAnsi="Arial" w:cs="Arial"/>
                <w:color w:val="000000"/>
                <w:sz w:val="20"/>
                <w:szCs w:val="20"/>
              </w:rPr>
            </w:pPr>
            <w:r w:rsidRPr="00A941E4">
              <w:rPr>
                <w:rFonts w:ascii="Arial" w:hAnsi="Arial" w:cs="Arial"/>
                <w:b/>
                <w:color w:val="000000"/>
                <w:sz w:val="20"/>
                <w:szCs w:val="20"/>
              </w:rPr>
              <w:t xml:space="preserve">Action Completed:  </w:t>
            </w:r>
            <w:r w:rsidR="0030462E">
              <w:rPr>
                <w:rFonts w:ascii="Arial" w:hAnsi="Arial" w:cs="Arial"/>
                <w:color w:val="000000"/>
                <w:sz w:val="20"/>
                <w:szCs w:val="20"/>
              </w:rPr>
              <w:t>Ms Fernandez had advised in the Actions Log that e</w:t>
            </w:r>
            <w:r w:rsidRPr="006E6FCC">
              <w:rPr>
                <w:rFonts w:ascii="Arial" w:hAnsi="Arial" w:cs="Arial"/>
                <w:color w:val="000000"/>
                <w:sz w:val="20"/>
                <w:szCs w:val="20"/>
              </w:rPr>
              <w:t xml:space="preserve">ntry requirements </w:t>
            </w:r>
            <w:r w:rsidR="0030462E">
              <w:rPr>
                <w:rFonts w:ascii="Arial" w:hAnsi="Arial" w:cs="Arial"/>
                <w:color w:val="000000"/>
                <w:sz w:val="20"/>
                <w:szCs w:val="20"/>
              </w:rPr>
              <w:t>were audited in S</w:t>
            </w:r>
            <w:r w:rsidRPr="006E6FCC">
              <w:rPr>
                <w:rFonts w:ascii="Arial" w:hAnsi="Arial" w:cs="Arial"/>
                <w:color w:val="000000"/>
                <w:sz w:val="20"/>
                <w:szCs w:val="20"/>
              </w:rPr>
              <w:t>pring</w:t>
            </w:r>
            <w:r w:rsidR="0030462E">
              <w:rPr>
                <w:rFonts w:ascii="Arial" w:hAnsi="Arial" w:cs="Arial"/>
                <w:color w:val="000000"/>
                <w:sz w:val="20"/>
                <w:szCs w:val="20"/>
              </w:rPr>
              <w:t xml:space="preserve"> each year</w:t>
            </w:r>
            <w:r w:rsidRPr="006E6FCC">
              <w:rPr>
                <w:rFonts w:ascii="Arial" w:hAnsi="Arial" w:cs="Arial"/>
                <w:color w:val="000000"/>
                <w:sz w:val="20"/>
                <w:szCs w:val="20"/>
              </w:rPr>
              <w:t>.  </w:t>
            </w:r>
            <w:r>
              <w:rPr>
                <w:rFonts w:ascii="Arial" w:hAnsi="Arial" w:cs="Arial"/>
                <w:color w:val="000000"/>
                <w:sz w:val="20"/>
                <w:szCs w:val="20"/>
              </w:rPr>
              <w:t xml:space="preserve">M&amp;C </w:t>
            </w:r>
            <w:r w:rsidRPr="006E6FCC">
              <w:rPr>
                <w:rFonts w:ascii="Arial" w:hAnsi="Arial" w:cs="Arial"/>
                <w:color w:val="000000"/>
                <w:sz w:val="20"/>
                <w:szCs w:val="20"/>
              </w:rPr>
              <w:t xml:space="preserve">reviewed this </w:t>
            </w:r>
            <w:r w:rsidR="009772D9">
              <w:rPr>
                <w:rFonts w:ascii="Arial" w:hAnsi="Arial" w:cs="Arial"/>
                <w:color w:val="000000"/>
                <w:sz w:val="20"/>
                <w:szCs w:val="20"/>
              </w:rPr>
              <w:t xml:space="preserve">in </w:t>
            </w:r>
            <w:r w:rsidRPr="006E6FCC">
              <w:rPr>
                <w:rFonts w:ascii="Arial" w:hAnsi="Arial" w:cs="Arial"/>
                <w:color w:val="000000"/>
                <w:sz w:val="20"/>
                <w:szCs w:val="20"/>
              </w:rPr>
              <w:t xml:space="preserve">January 2016 and clarified </w:t>
            </w:r>
            <w:r w:rsidR="009772D9">
              <w:rPr>
                <w:rFonts w:ascii="Arial" w:hAnsi="Arial" w:cs="Arial"/>
                <w:color w:val="000000"/>
                <w:sz w:val="20"/>
                <w:szCs w:val="20"/>
              </w:rPr>
              <w:t>S</w:t>
            </w:r>
            <w:r w:rsidRPr="006E6FCC">
              <w:rPr>
                <w:rFonts w:ascii="Arial" w:hAnsi="Arial" w:cs="Arial"/>
                <w:color w:val="000000"/>
                <w:sz w:val="20"/>
                <w:szCs w:val="20"/>
              </w:rPr>
              <w:t xml:space="preserve">pring UK audit items as entry requirements and </w:t>
            </w:r>
            <w:r w:rsidR="00F8421C">
              <w:rPr>
                <w:rFonts w:ascii="Arial" w:hAnsi="Arial" w:cs="Arial"/>
                <w:color w:val="000000"/>
                <w:sz w:val="20"/>
                <w:szCs w:val="20"/>
              </w:rPr>
              <w:t xml:space="preserve">the </w:t>
            </w:r>
            <w:r w:rsidRPr="006E6FCC">
              <w:rPr>
                <w:rFonts w:ascii="Arial" w:hAnsi="Arial" w:cs="Arial"/>
                <w:color w:val="000000"/>
                <w:sz w:val="20"/>
                <w:szCs w:val="20"/>
              </w:rPr>
              <w:t>use of</w:t>
            </w:r>
            <w:r w:rsidR="009772D9">
              <w:rPr>
                <w:rFonts w:ascii="Arial" w:hAnsi="Arial" w:cs="Arial"/>
                <w:color w:val="000000"/>
                <w:sz w:val="20"/>
                <w:szCs w:val="20"/>
              </w:rPr>
              <w:t xml:space="preserve"> the BU</w:t>
            </w:r>
            <w:r w:rsidRPr="006E6FCC">
              <w:rPr>
                <w:rFonts w:ascii="Arial" w:hAnsi="Arial" w:cs="Arial"/>
                <w:color w:val="000000"/>
                <w:sz w:val="20"/>
                <w:szCs w:val="20"/>
              </w:rPr>
              <w:t xml:space="preserve"> logo. </w:t>
            </w:r>
            <w:r w:rsidR="009772D9">
              <w:rPr>
                <w:rFonts w:ascii="Arial" w:hAnsi="Arial" w:cs="Arial"/>
                <w:color w:val="000000"/>
                <w:sz w:val="20"/>
                <w:szCs w:val="20"/>
              </w:rPr>
              <w:t xml:space="preserve">The </w:t>
            </w:r>
            <w:r w:rsidRPr="006E6FCC">
              <w:rPr>
                <w:rFonts w:ascii="Arial" w:hAnsi="Arial" w:cs="Arial"/>
                <w:color w:val="000000"/>
                <w:sz w:val="20"/>
                <w:szCs w:val="20"/>
              </w:rPr>
              <w:t>Spring audit for overseas partners w</w:t>
            </w:r>
            <w:r w:rsidR="009772D9">
              <w:rPr>
                <w:rFonts w:ascii="Arial" w:hAnsi="Arial" w:cs="Arial"/>
                <w:color w:val="000000"/>
                <w:sz w:val="20"/>
                <w:szCs w:val="20"/>
              </w:rPr>
              <w:t>ould</w:t>
            </w:r>
            <w:r w:rsidRPr="006E6FCC">
              <w:rPr>
                <w:rFonts w:ascii="Arial" w:hAnsi="Arial" w:cs="Arial"/>
                <w:color w:val="000000"/>
                <w:sz w:val="20"/>
                <w:szCs w:val="20"/>
              </w:rPr>
              <w:t xml:space="preserve"> include </w:t>
            </w:r>
            <w:r w:rsidR="009772D9">
              <w:rPr>
                <w:rFonts w:ascii="Arial" w:hAnsi="Arial" w:cs="Arial"/>
                <w:color w:val="000000"/>
                <w:sz w:val="20"/>
                <w:szCs w:val="20"/>
              </w:rPr>
              <w:t xml:space="preserve">the </w:t>
            </w:r>
            <w:r w:rsidRPr="006E6FCC">
              <w:rPr>
                <w:rFonts w:ascii="Arial" w:hAnsi="Arial" w:cs="Arial"/>
                <w:color w:val="000000"/>
                <w:sz w:val="20"/>
                <w:szCs w:val="20"/>
              </w:rPr>
              <w:t>use of</w:t>
            </w:r>
            <w:r w:rsidR="009772D9">
              <w:rPr>
                <w:rFonts w:ascii="Arial" w:hAnsi="Arial" w:cs="Arial"/>
                <w:color w:val="000000"/>
                <w:sz w:val="20"/>
                <w:szCs w:val="20"/>
              </w:rPr>
              <w:t xml:space="preserve"> the BU</w:t>
            </w:r>
            <w:r w:rsidRPr="006E6FCC">
              <w:rPr>
                <w:rFonts w:ascii="Arial" w:hAnsi="Arial" w:cs="Arial"/>
                <w:color w:val="000000"/>
                <w:sz w:val="20"/>
                <w:szCs w:val="20"/>
              </w:rPr>
              <w:t xml:space="preserve"> logo and name.</w:t>
            </w:r>
            <w:r w:rsidR="009772D9">
              <w:rPr>
                <w:rFonts w:ascii="Arial" w:hAnsi="Arial" w:cs="Arial"/>
                <w:color w:val="000000"/>
                <w:sz w:val="20"/>
                <w:szCs w:val="20"/>
              </w:rPr>
              <w:t xml:space="preserve">  It was unclear whether the action had been fully completed, therefore Ms Symonds would discuss the action further with Ms Fernandez.</w:t>
            </w:r>
          </w:p>
          <w:p w:rsidR="00CB65C6" w:rsidRDefault="00CB65C6" w:rsidP="00A941E4">
            <w:pPr>
              <w:ind w:right="-22"/>
              <w:rPr>
                <w:rFonts w:ascii="Arial" w:hAnsi="Arial" w:cs="Arial"/>
                <w:color w:val="000000"/>
                <w:sz w:val="20"/>
                <w:szCs w:val="20"/>
              </w:rPr>
            </w:pPr>
          </w:p>
          <w:p w:rsidR="00046C61" w:rsidRDefault="009772D9" w:rsidP="00CB65C6">
            <w:pPr>
              <w:ind w:right="-22"/>
              <w:jc w:val="right"/>
              <w:rPr>
                <w:rFonts w:ascii="Arial" w:hAnsi="Arial" w:cs="Arial"/>
                <w:sz w:val="20"/>
                <w:szCs w:val="20"/>
              </w:rPr>
            </w:pPr>
            <w:r>
              <w:rPr>
                <w:rFonts w:ascii="Arial" w:hAnsi="Arial" w:cs="Arial"/>
                <w:b/>
                <w:color w:val="000000"/>
                <w:sz w:val="20"/>
                <w:szCs w:val="20"/>
              </w:rPr>
              <w:t>Action:  CS</w:t>
            </w:r>
            <w:r w:rsidR="00A941E4" w:rsidRPr="006E6FCC">
              <w:rPr>
                <w:rFonts w:ascii="Arial" w:hAnsi="Arial" w:cs="Arial"/>
                <w:color w:val="000000"/>
                <w:sz w:val="20"/>
                <w:szCs w:val="20"/>
              </w:rPr>
              <w:t> </w:t>
            </w:r>
          </w:p>
        </w:tc>
      </w:tr>
      <w:tr w:rsidR="00257EE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257EE7" w:rsidRDefault="00257EE7">
            <w:pPr>
              <w:rPr>
                <w:rFonts w:ascii="Arial" w:hAnsi="Arial" w:cs="Arial"/>
                <w:sz w:val="20"/>
                <w:szCs w:val="20"/>
              </w:rPr>
            </w:pPr>
            <w:r>
              <w:rPr>
                <w:rFonts w:ascii="Arial" w:hAnsi="Arial" w:cs="Arial"/>
                <w:sz w:val="20"/>
                <w:szCs w:val="20"/>
              </w:rPr>
              <w:t>2.2.3</w:t>
            </w:r>
          </w:p>
        </w:tc>
        <w:tc>
          <w:tcPr>
            <w:tcW w:w="8842" w:type="dxa"/>
            <w:gridSpan w:val="4"/>
            <w:tcBorders>
              <w:top w:val="nil"/>
              <w:left w:val="nil"/>
              <w:bottom w:val="nil"/>
              <w:right w:val="nil"/>
            </w:tcBorders>
          </w:tcPr>
          <w:p w:rsidR="001D6442" w:rsidRDefault="001D6442" w:rsidP="001D6442">
            <w:pPr>
              <w:ind w:right="-22"/>
              <w:rPr>
                <w:rFonts w:ascii="Arial" w:hAnsi="Arial" w:cs="Arial"/>
                <w:color w:val="000000"/>
                <w:sz w:val="20"/>
                <w:szCs w:val="20"/>
              </w:rPr>
            </w:pPr>
            <w:r>
              <w:rPr>
                <w:rFonts w:ascii="Arial" w:hAnsi="Arial" w:cs="Arial"/>
                <w:color w:val="000000"/>
                <w:sz w:val="20"/>
                <w:szCs w:val="20"/>
                <w:u w:val="single"/>
              </w:rPr>
              <w:t>Minute</w:t>
            </w:r>
            <w:r w:rsidR="00A941E4">
              <w:rPr>
                <w:rFonts w:ascii="Arial" w:hAnsi="Arial" w:cs="Arial"/>
                <w:color w:val="000000"/>
                <w:sz w:val="20"/>
                <w:szCs w:val="20"/>
                <w:u w:val="single"/>
              </w:rPr>
              <w:t xml:space="preserve"> 2.2.14 – FASC Meeting Attendance</w:t>
            </w:r>
          </w:p>
          <w:p w:rsidR="00A941E4" w:rsidRDefault="00A941E4" w:rsidP="00F8421C">
            <w:pPr>
              <w:ind w:right="-22"/>
              <w:jc w:val="both"/>
              <w:rPr>
                <w:rFonts w:ascii="Arial" w:hAnsi="Arial" w:cs="Arial"/>
                <w:i/>
                <w:sz w:val="20"/>
                <w:szCs w:val="20"/>
              </w:rPr>
            </w:pPr>
            <w:r w:rsidRPr="00A941E4">
              <w:rPr>
                <w:rFonts w:ascii="Arial" w:hAnsi="Arial" w:cs="Arial"/>
                <w:i/>
                <w:sz w:val="20"/>
                <w:szCs w:val="20"/>
              </w:rPr>
              <w:t>The Committee was reminded of the importance of all FASC members attending meetings and therefore achieving quoracy of meetings. The number of apologies recorded in the FASC minutes was often quite significant.  Attendance at future FASC meetings should be continually monitored by FASC Chairs and EDQ. It was agreed that this action would be ongoing throughout the remainder of the 2015/16 academic year.</w:t>
            </w:r>
          </w:p>
          <w:p w:rsidR="00A941E4" w:rsidRDefault="00A941E4" w:rsidP="00F8421C">
            <w:pPr>
              <w:ind w:right="-22"/>
              <w:jc w:val="both"/>
              <w:rPr>
                <w:rFonts w:ascii="Arial" w:hAnsi="Arial" w:cs="Arial"/>
                <w:sz w:val="20"/>
                <w:szCs w:val="20"/>
              </w:rPr>
            </w:pPr>
            <w:r>
              <w:rPr>
                <w:rFonts w:ascii="Arial" w:hAnsi="Arial" w:cs="Arial"/>
                <w:b/>
                <w:sz w:val="20"/>
                <w:szCs w:val="20"/>
              </w:rPr>
              <w:t xml:space="preserve">Action </w:t>
            </w:r>
            <w:r w:rsidR="00F8421C">
              <w:rPr>
                <w:rFonts w:ascii="Arial" w:hAnsi="Arial" w:cs="Arial"/>
                <w:b/>
                <w:sz w:val="20"/>
                <w:szCs w:val="20"/>
              </w:rPr>
              <w:t>Ongoing</w:t>
            </w:r>
            <w:r>
              <w:rPr>
                <w:rFonts w:ascii="Arial" w:hAnsi="Arial" w:cs="Arial"/>
                <w:b/>
                <w:sz w:val="20"/>
                <w:szCs w:val="20"/>
              </w:rPr>
              <w:t>:</w:t>
            </w:r>
            <w:r>
              <w:rPr>
                <w:rFonts w:ascii="Arial" w:hAnsi="Arial" w:cs="Arial"/>
                <w:sz w:val="20"/>
                <w:szCs w:val="20"/>
              </w:rPr>
              <w:t xml:space="preserve"> </w:t>
            </w:r>
            <w:r w:rsidR="007B5835">
              <w:rPr>
                <w:rFonts w:ascii="Arial" w:hAnsi="Arial" w:cs="Arial"/>
                <w:sz w:val="20"/>
                <w:szCs w:val="20"/>
              </w:rPr>
              <w:t xml:space="preserve">DDEPPs </w:t>
            </w:r>
            <w:r w:rsidR="009772D9">
              <w:rPr>
                <w:rFonts w:ascii="Arial" w:hAnsi="Arial" w:cs="Arial"/>
                <w:sz w:val="20"/>
                <w:szCs w:val="20"/>
              </w:rPr>
              <w:t xml:space="preserve">had </w:t>
            </w:r>
            <w:r w:rsidR="007B5835">
              <w:rPr>
                <w:rFonts w:ascii="Arial" w:hAnsi="Arial" w:cs="Arial"/>
                <w:sz w:val="20"/>
                <w:szCs w:val="20"/>
              </w:rPr>
              <w:t>advised Faculty staff of the importance of attending FASC meetings</w:t>
            </w:r>
            <w:r w:rsidR="009772D9">
              <w:rPr>
                <w:rFonts w:ascii="Arial" w:hAnsi="Arial" w:cs="Arial"/>
                <w:sz w:val="20"/>
                <w:szCs w:val="20"/>
              </w:rPr>
              <w:t>.  A</w:t>
            </w:r>
            <w:r w:rsidR="007B5835">
              <w:rPr>
                <w:rFonts w:ascii="Arial" w:hAnsi="Arial" w:cs="Arial"/>
                <w:sz w:val="20"/>
                <w:szCs w:val="20"/>
              </w:rPr>
              <w:t>ttendance at FASC meetings would be closely monitored moving forward</w:t>
            </w:r>
            <w:r w:rsidR="00CA4AC9">
              <w:rPr>
                <w:rFonts w:ascii="Arial" w:hAnsi="Arial" w:cs="Arial"/>
                <w:sz w:val="20"/>
                <w:szCs w:val="20"/>
              </w:rPr>
              <w:t>.</w:t>
            </w:r>
          </w:p>
          <w:p w:rsidR="00C756A6" w:rsidRDefault="00C756A6" w:rsidP="00AD2767">
            <w:pPr>
              <w:jc w:val="both"/>
              <w:rPr>
                <w:rFonts w:ascii="Arial" w:hAnsi="Arial" w:cs="Arial"/>
                <w:sz w:val="20"/>
                <w:szCs w:val="20"/>
              </w:rPr>
            </w:pPr>
          </w:p>
        </w:tc>
      </w:tr>
      <w:tr w:rsidR="00257EE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257EE7" w:rsidRDefault="001D6442">
            <w:pPr>
              <w:rPr>
                <w:rFonts w:ascii="Arial" w:hAnsi="Arial" w:cs="Arial"/>
                <w:sz w:val="20"/>
                <w:szCs w:val="20"/>
              </w:rPr>
            </w:pPr>
            <w:r>
              <w:rPr>
                <w:rFonts w:ascii="Arial" w:hAnsi="Arial" w:cs="Arial"/>
                <w:sz w:val="20"/>
                <w:szCs w:val="20"/>
              </w:rPr>
              <w:t>2.2.4</w:t>
            </w:r>
          </w:p>
        </w:tc>
        <w:tc>
          <w:tcPr>
            <w:tcW w:w="8842" w:type="dxa"/>
            <w:gridSpan w:val="4"/>
            <w:tcBorders>
              <w:top w:val="nil"/>
              <w:left w:val="nil"/>
              <w:bottom w:val="nil"/>
              <w:right w:val="nil"/>
            </w:tcBorders>
          </w:tcPr>
          <w:p w:rsidR="001D6442" w:rsidRDefault="001D6442" w:rsidP="001D6442">
            <w:pPr>
              <w:ind w:left="720" w:right="-22" w:hanging="720"/>
              <w:jc w:val="both"/>
              <w:rPr>
                <w:rFonts w:ascii="Arial" w:hAnsi="Arial" w:cs="Arial"/>
                <w:sz w:val="20"/>
                <w:szCs w:val="20"/>
              </w:rPr>
            </w:pPr>
            <w:r>
              <w:rPr>
                <w:rFonts w:ascii="Arial" w:hAnsi="Arial" w:cs="Arial"/>
                <w:sz w:val="20"/>
                <w:szCs w:val="20"/>
                <w:u w:val="single"/>
              </w:rPr>
              <w:t>Minute</w:t>
            </w:r>
            <w:r w:rsidR="007B5835">
              <w:rPr>
                <w:rFonts w:ascii="Arial" w:hAnsi="Arial" w:cs="Arial"/>
                <w:sz w:val="20"/>
                <w:szCs w:val="20"/>
                <w:u w:val="single"/>
              </w:rPr>
              <w:t xml:space="preserve"> 4.1.2 </w:t>
            </w:r>
            <w:r w:rsidR="00CA4AC9">
              <w:rPr>
                <w:rFonts w:ascii="Arial" w:hAnsi="Arial" w:cs="Arial"/>
                <w:sz w:val="20"/>
                <w:szCs w:val="20"/>
                <w:u w:val="single"/>
              </w:rPr>
              <w:t>–</w:t>
            </w:r>
            <w:r w:rsidR="007B5835">
              <w:rPr>
                <w:rFonts w:ascii="Arial" w:hAnsi="Arial" w:cs="Arial"/>
                <w:sz w:val="20"/>
                <w:szCs w:val="20"/>
                <w:u w:val="single"/>
              </w:rPr>
              <w:t xml:space="preserve"> </w:t>
            </w:r>
            <w:r w:rsidR="00CA4AC9">
              <w:rPr>
                <w:rFonts w:ascii="Arial" w:hAnsi="Arial" w:cs="Arial"/>
                <w:sz w:val="20"/>
                <w:szCs w:val="20"/>
                <w:u w:val="single"/>
              </w:rPr>
              <w:t>Updated Faculty Quality Audit Action Plan</w:t>
            </w:r>
          </w:p>
          <w:p w:rsidR="00CA4AC9" w:rsidRPr="00CA4AC9" w:rsidRDefault="00CA4AC9" w:rsidP="00F8421C">
            <w:pPr>
              <w:ind w:right="-22"/>
              <w:jc w:val="both"/>
              <w:rPr>
                <w:rFonts w:ascii="Arial" w:hAnsi="Arial" w:cs="Arial"/>
                <w:i/>
                <w:sz w:val="20"/>
                <w:szCs w:val="20"/>
              </w:rPr>
            </w:pPr>
            <w:r w:rsidRPr="00CA4AC9">
              <w:rPr>
                <w:rFonts w:ascii="Arial" w:hAnsi="Arial" w:cs="Arial"/>
                <w:i/>
                <w:sz w:val="20"/>
                <w:szCs w:val="20"/>
              </w:rPr>
              <w:t>FMC staff had b</w:t>
            </w:r>
            <w:r w:rsidR="009772D9">
              <w:rPr>
                <w:rFonts w:ascii="Arial" w:hAnsi="Arial" w:cs="Arial"/>
                <w:i/>
                <w:sz w:val="20"/>
                <w:szCs w:val="20"/>
              </w:rPr>
              <w:t>een using email to communicate</w:t>
            </w:r>
            <w:r w:rsidRPr="00CA4AC9">
              <w:rPr>
                <w:rFonts w:ascii="Arial" w:hAnsi="Arial" w:cs="Arial"/>
                <w:i/>
                <w:sz w:val="20"/>
                <w:szCs w:val="20"/>
              </w:rPr>
              <w:t xml:space="preserve"> with students rather than myBU and this practice should cease as it created difficulties with audits.  Members agreed that all Heads of Department should be aware of what was required and discussion should be taking place at department meetings.</w:t>
            </w:r>
          </w:p>
          <w:p w:rsidR="00CA4AC9" w:rsidRDefault="00CA4AC9" w:rsidP="00F8421C">
            <w:pPr>
              <w:ind w:right="-22"/>
              <w:jc w:val="both"/>
              <w:rPr>
                <w:rFonts w:ascii="Arial" w:hAnsi="Arial" w:cs="Arial"/>
                <w:color w:val="000000"/>
                <w:sz w:val="20"/>
                <w:szCs w:val="20"/>
              </w:rPr>
            </w:pPr>
            <w:r>
              <w:rPr>
                <w:rFonts w:ascii="Arial" w:hAnsi="Arial" w:cs="Arial"/>
                <w:b/>
                <w:sz w:val="20"/>
                <w:szCs w:val="20"/>
              </w:rPr>
              <w:t>Action Completed:</w:t>
            </w:r>
            <w:r>
              <w:rPr>
                <w:rFonts w:ascii="Arial" w:hAnsi="Arial" w:cs="Arial"/>
                <w:sz w:val="20"/>
                <w:szCs w:val="20"/>
              </w:rPr>
              <w:t xml:space="preserve">  </w:t>
            </w:r>
            <w:r>
              <w:rPr>
                <w:rFonts w:ascii="Arial" w:hAnsi="Arial" w:cs="Arial"/>
                <w:color w:val="000000"/>
                <w:sz w:val="20"/>
                <w:szCs w:val="20"/>
              </w:rPr>
              <w:t xml:space="preserve">This issue was discussed at </w:t>
            </w:r>
            <w:r w:rsidR="004C7ED0">
              <w:rPr>
                <w:rFonts w:ascii="Arial" w:hAnsi="Arial" w:cs="Arial"/>
                <w:color w:val="000000"/>
                <w:sz w:val="20"/>
                <w:szCs w:val="20"/>
              </w:rPr>
              <w:t xml:space="preserve">FMC </w:t>
            </w:r>
            <w:r>
              <w:rPr>
                <w:rFonts w:ascii="Arial" w:hAnsi="Arial" w:cs="Arial"/>
                <w:color w:val="000000"/>
                <w:sz w:val="20"/>
                <w:szCs w:val="20"/>
              </w:rPr>
              <w:t xml:space="preserve">Faculty Exec and </w:t>
            </w:r>
            <w:r w:rsidR="00F8421C">
              <w:rPr>
                <w:rFonts w:ascii="Arial" w:hAnsi="Arial" w:cs="Arial"/>
                <w:color w:val="000000"/>
                <w:sz w:val="20"/>
                <w:szCs w:val="20"/>
              </w:rPr>
              <w:t>Heads of Departments (</w:t>
            </w:r>
            <w:r>
              <w:rPr>
                <w:rFonts w:ascii="Arial" w:hAnsi="Arial" w:cs="Arial"/>
                <w:color w:val="000000"/>
                <w:sz w:val="20"/>
                <w:szCs w:val="20"/>
              </w:rPr>
              <w:t>HoDs</w:t>
            </w:r>
            <w:r w:rsidR="00F8421C">
              <w:rPr>
                <w:rFonts w:ascii="Arial" w:hAnsi="Arial" w:cs="Arial"/>
                <w:color w:val="000000"/>
                <w:sz w:val="20"/>
                <w:szCs w:val="20"/>
              </w:rPr>
              <w:t>)</w:t>
            </w:r>
            <w:r>
              <w:rPr>
                <w:rFonts w:ascii="Arial" w:hAnsi="Arial" w:cs="Arial"/>
                <w:color w:val="000000"/>
                <w:sz w:val="20"/>
                <w:szCs w:val="20"/>
              </w:rPr>
              <w:t xml:space="preserve"> were </w:t>
            </w:r>
            <w:r w:rsidR="00F8421C">
              <w:rPr>
                <w:rFonts w:ascii="Arial" w:hAnsi="Arial" w:cs="Arial"/>
                <w:color w:val="000000"/>
                <w:sz w:val="20"/>
                <w:szCs w:val="20"/>
              </w:rPr>
              <w:t>requested</w:t>
            </w:r>
            <w:r>
              <w:rPr>
                <w:rFonts w:ascii="Arial" w:hAnsi="Arial" w:cs="Arial"/>
                <w:color w:val="000000"/>
                <w:sz w:val="20"/>
                <w:szCs w:val="20"/>
              </w:rPr>
              <w:t xml:space="preserve"> to highlight the importance to academics of uploading MUS</w:t>
            </w:r>
            <w:r w:rsidR="00F8421C">
              <w:rPr>
                <w:rFonts w:ascii="Arial" w:hAnsi="Arial" w:cs="Arial"/>
                <w:color w:val="000000"/>
                <w:sz w:val="20"/>
                <w:szCs w:val="20"/>
              </w:rPr>
              <w:t>E feedback reports for</w:t>
            </w:r>
            <w:r>
              <w:rPr>
                <w:rFonts w:ascii="Arial" w:hAnsi="Arial" w:cs="Arial"/>
                <w:color w:val="000000"/>
                <w:sz w:val="20"/>
                <w:szCs w:val="20"/>
              </w:rPr>
              <w:t xml:space="preserve"> students on myBU at departmental meetings.</w:t>
            </w:r>
          </w:p>
          <w:p w:rsidR="00C756A6" w:rsidRDefault="00C756A6" w:rsidP="00AD2767">
            <w:pPr>
              <w:ind w:left="34" w:right="-22" w:hanging="34"/>
              <w:jc w:val="both"/>
              <w:rPr>
                <w:rFonts w:ascii="Arial" w:hAnsi="Arial" w:cs="Arial"/>
                <w:sz w:val="20"/>
                <w:szCs w:val="20"/>
              </w:rPr>
            </w:pPr>
          </w:p>
        </w:tc>
      </w:tr>
      <w:tr w:rsidR="00257EE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257EE7" w:rsidRDefault="001D6442">
            <w:pPr>
              <w:rPr>
                <w:rFonts w:ascii="Arial" w:hAnsi="Arial" w:cs="Arial"/>
                <w:sz w:val="20"/>
                <w:szCs w:val="20"/>
              </w:rPr>
            </w:pPr>
            <w:r>
              <w:rPr>
                <w:rFonts w:ascii="Arial" w:hAnsi="Arial" w:cs="Arial"/>
                <w:sz w:val="20"/>
                <w:szCs w:val="20"/>
              </w:rPr>
              <w:t>2.2.5</w:t>
            </w:r>
          </w:p>
        </w:tc>
        <w:tc>
          <w:tcPr>
            <w:tcW w:w="8842" w:type="dxa"/>
            <w:gridSpan w:val="4"/>
            <w:tcBorders>
              <w:top w:val="nil"/>
              <w:left w:val="nil"/>
              <w:bottom w:val="nil"/>
              <w:right w:val="nil"/>
            </w:tcBorders>
          </w:tcPr>
          <w:p w:rsidR="001D6442" w:rsidRDefault="001D6442" w:rsidP="001D6442">
            <w:pPr>
              <w:ind w:left="720" w:right="-22" w:hanging="720"/>
              <w:jc w:val="both"/>
              <w:rPr>
                <w:rFonts w:ascii="Arial" w:hAnsi="Arial" w:cs="Arial"/>
                <w:sz w:val="20"/>
                <w:szCs w:val="20"/>
              </w:rPr>
            </w:pPr>
            <w:r>
              <w:rPr>
                <w:rFonts w:ascii="Arial" w:hAnsi="Arial" w:cs="Arial"/>
                <w:sz w:val="20"/>
                <w:szCs w:val="20"/>
                <w:u w:val="single"/>
              </w:rPr>
              <w:t>Minute</w:t>
            </w:r>
            <w:r w:rsidR="00CA4AC9">
              <w:rPr>
                <w:rFonts w:ascii="Arial" w:hAnsi="Arial" w:cs="Arial"/>
                <w:sz w:val="20"/>
                <w:szCs w:val="20"/>
                <w:u w:val="single"/>
              </w:rPr>
              <w:t xml:space="preserve"> 4.1.8 – Updated Faculty Quality Audit Action Plan</w:t>
            </w:r>
          </w:p>
          <w:p w:rsidR="00CA4AC9" w:rsidRPr="009772D9" w:rsidRDefault="00CA4AC9" w:rsidP="00F8421C">
            <w:pPr>
              <w:ind w:right="-22"/>
              <w:jc w:val="both"/>
              <w:rPr>
                <w:rFonts w:ascii="Arial" w:hAnsi="Arial" w:cs="Arial"/>
                <w:i/>
                <w:sz w:val="20"/>
                <w:szCs w:val="20"/>
              </w:rPr>
            </w:pPr>
            <w:r w:rsidRPr="009772D9">
              <w:rPr>
                <w:rFonts w:ascii="Arial" w:hAnsi="Arial" w:cs="Arial"/>
                <w:i/>
                <w:sz w:val="20"/>
                <w:szCs w:val="20"/>
              </w:rPr>
              <w:t xml:space="preserve">All responses to MUSE quantitative and qualitative data should be uploaded to myBU rather than through the use of email.  It was important that myBU was used in order to ensure a consistent approach and to demonstrate to students that the University was listening and acting appropriately. </w:t>
            </w:r>
            <w:r w:rsidR="004C7ED0">
              <w:rPr>
                <w:rFonts w:ascii="Arial" w:hAnsi="Arial" w:cs="Arial"/>
                <w:i/>
                <w:sz w:val="20"/>
                <w:szCs w:val="20"/>
              </w:rPr>
              <w:t xml:space="preserve">Further to the discussion with FMC </w:t>
            </w:r>
            <w:r w:rsidRPr="009772D9">
              <w:rPr>
                <w:rFonts w:ascii="Arial" w:hAnsi="Arial" w:cs="Arial"/>
                <w:i/>
                <w:sz w:val="20"/>
                <w:szCs w:val="20"/>
              </w:rPr>
              <w:t xml:space="preserve">DDEPPS were requested to ensure discussion regarding this issue takes place within </w:t>
            </w:r>
            <w:r w:rsidR="004C7ED0">
              <w:rPr>
                <w:rFonts w:ascii="Arial" w:hAnsi="Arial" w:cs="Arial"/>
                <w:i/>
                <w:sz w:val="20"/>
                <w:szCs w:val="20"/>
              </w:rPr>
              <w:t xml:space="preserve">all </w:t>
            </w:r>
            <w:r w:rsidRPr="009772D9">
              <w:rPr>
                <w:rFonts w:ascii="Arial" w:hAnsi="Arial" w:cs="Arial"/>
                <w:i/>
                <w:sz w:val="20"/>
                <w:szCs w:val="20"/>
              </w:rPr>
              <w:t>Faculties with Heads of Department and Faculty Executives.</w:t>
            </w:r>
          </w:p>
          <w:p w:rsidR="00CA4AC9" w:rsidRDefault="00CA4AC9" w:rsidP="00F8421C">
            <w:pPr>
              <w:ind w:right="-22"/>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DDEPPs had discussed the issue with H</w:t>
            </w:r>
            <w:r w:rsidR="00F8421C">
              <w:rPr>
                <w:rFonts w:ascii="Arial" w:hAnsi="Arial" w:cs="Arial"/>
                <w:sz w:val="20"/>
                <w:szCs w:val="20"/>
              </w:rPr>
              <w:t>o</w:t>
            </w:r>
            <w:r>
              <w:rPr>
                <w:rFonts w:ascii="Arial" w:hAnsi="Arial" w:cs="Arial"/>
                <w:sz w:val="20"/>
                <w:szCs w:val="20"/>
              </w:rPr>
              <w:t>D</w:t>
            </w:r>
            <w:r w:rsidR="00F8421C">
              <w:rPr>
                <w:rFonts w:ascii="Arial" w:hAnsi="Arial" w:cs="Arial"/>
                <w:sz w:val="20"/>
                <w:szCs w:val="20"/>
              </w:rPr>
              <w:t>s</w:t>
            </w:r>
            <w:r>
              <w:rPr>
                <w:rFonts w:ascii="Arial" w:hAnsi="Arial" w:cs="Arial"/>
                <w:sz w:val="20"/>
                <w:szCs w:val="20"/>
              </w:rPr>
              <w:t xml:space="preserve"> and Faculty Executives.</w:t>
            </w:r>
          </w:p>
          <w:p w:rsidR="00C756A6" w:rsidRDefault="001D6442" w:rsidP="00AD2767">
            <w:pPr>
              <w:ind w:left="34" w:right="-22" w:hanging="34"/>
              <w:jc w:val="both"/>
              <w:rPr>
                <w:rFonts w:ascii="Arial" w:hAnsi="Arial" w:cs="Arial"/>
                <w:sz w:val="20"/>
                <w:szCs w:val="20"/>
              </w:rPr>
            </w:pPr>
            <w:r>
              <w:rPr>
                <w:rFonts w:ascii="Arial" w:hAnsi="Arial" w:cs="Arial"/>
                <w:sz w:val="20"/>
                <w:szCs w:val="20"/>
              </w:rPr>
              <w:tab/>
            </w:r>
          </w:p>
        </w:tc>
      </w:tr>
      <w:tr w:rsidR="00257EE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257EE7" w:rsidRDefault="001D6442">
            <w:pPr>
              <w:rPr>
                <w:rFonts w:ascii="Arial" w:hAnsi="Arial" w:cs="Arial"/>
                <w:sz w:val="20"/>
                <w:szCs w:val="20"/>
              </w:rPr>
            </w:pPr>
            <w:r>
              <w:rPr>
                <w:rFonts w:ascii="Arial" w:hAnsi="Arial" w:cs="Arial"/>
                <w:sz w:val="20"/>
                <w:szCs w:val="20"/>
              </w:rPr>
              <w:t>2.2.6</w:t>
            </w:r>
          </w:p>
        </w:tc>
        <w:tc>
          <w:tcPr>
            <w:tcW w:w="8842" w:type="dxa"/>
            <w:gridSpan w:val="4"/>
            <w:tcBorders>
              <w:top w:val="nil"/>
              <w:left w:val="nil"/>
              <w:bottom w:val="nil"/>
              <w:right w:val="nil"/>
            </w:tcBorders>
          </w:tcPr>
          <w:p w:rsidR="001D6442" w:rsidRDefault="001D6442" w:rsidP="001D6442">
            <w:pPr>
              <w:ind w:left="720" w:right="-22" w:hanging="720"/>
              <w:jc w:val="both"/>
              <w:rPr>
                <w:rFonts w:ascii="Arial" w:hAnsi="Arial" w:cs="Arial"/>
                <w:sz w:val="20"/>
                <w:szCs w:val="20"/>
              </w:rPr>
            </w:pPr>
            <w:r>
              <w:rPr>
                <w:rFonts w:ascii="Arial" w:hAnsi="Arial" w:cs="Arial"/>
                <w:sz w:val="20"/>
                <w:szCs w:val="20"/>
                <w:u w:val="single"/>
              </w:rPr>
              <w:t>Minute</w:t>
            </w:r>
            <w:r w:rsidR="00CA4AC9">
              <w:rPr>
                <w:rFonts w:ascii="Arial" w:hAnsi="Arial" w:cs="Arial"/>
                <w:sz w:val="20"/>
                <w:szCs w:val="20"/>
                <w:u w:val="single"/>
              </w:rPr>
              <w:t xml:space="preserve"> 4.2.1.4 – Faculty Quality Reports – Anglo-European College of Chiropractic (AECC)</w:t>
            </w:r>
          </w:p>
          <w:p w:rsidR="00CA4AC9" w:rsidRPr="00CA4AC9" w:rsidRDefault="00CA4AC9" w:rsidP="00F8421C">
            <w:pPr>
              <w:ind w:right="-22"/>
              <w:jc w:val="both"/>
              <w:rPr>
                <w:rFonts w:ascii="Arial" w:hAnsi="Arial" w:cs="Arial"/>
                <w:i/>
                <w:sz w:val="20"/>
                <w:szCs w:val="20"/>
              </w:rPr>
            </w:pPr>
            <w:r w:rsidRPr="00CA4AC9">
              <w:rPr>
                <w:rFonts w:ascii="Arial" w:hAnsi="Arial" w:cs="Arial"/>
                <w:i/>
                <w:sz w:val="20"/>
                <w:szCs w:val="20"/>
              </w:rPr>
              <w:t>Members questioned whether the lower than usual progression rate for the BSc Chiropractic programme at Level I may have been attributed to the relaxation of Year 1 entrance requirements for the September 2014 intake.  Mr Thorkeldsen was unsure whether there had been a relaxation of the acceptance of lower tariff points in 2014, therefore further clarification of the statement would be provided.</w:t>
            </w:r>
          </w:p>
          <w:p w:rsidR="00CA4AC9" w:rsidRDefault="00CA4AC9" w:rsidP="00F8421C">
            <w:pPr>
              <w:ind w:right="-22"/>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Clarification had been added to Section B, No. 5 regarding the relaxation of entrance requirements.  The updated AECC Faculty Quality Report was listed as agenda item 3.3 for discussion.</w:t>
            </w:r>
          </w:p>
          <w:p w:rsidR="00C756A6" w:rsidRDefault="001D6442" w:rsidP="00AD2767">
            <w:pPr>
              <w:ind w:left="34" w:right="-22" w:hanging="34"/>
              <w:jc w:val="both"/>
              <w:rPr>
                <w:rFonts w:ascii="Arial" w:hAnsi="Arial" w:cs="Arial"/>
                <w:sz w:val="20"/>
                <w:szCs w:val="20"/>
              </w:rPr>
            </w:pPr>
            <w:r>
              <w:rPr>
                <w:rFonts w:ascii="Arial" w:hAnsi="Arial" w:cs="Arial"/>
                <w:sz w:val="20"/>
                <w:szCs w:val="20"/>
              </w:rPr>
              <w:tab/>
            </w:r>
          </w:p>
        </w:tc>
      </w:tr>
      <w:tr w:rsidR="00257EE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257EE7" w:rsidRDefault="001D6442">
            <w:pPr>
              <w:rPr>
                <w:rFonts w:ascii="Arial" w:hAnsi="Arial" w:cs="Arial"/>
                <w:sz w:val="20"/>
                <w:szCs w:val="20"/>
              </w:rPr>
            </w:pPr>
            <w:r>
              <w:rPr>
                <w:rFonts w:ascii="Arial" w:hAnsi="Arial" w:cs="Arial"/>
                <w:sz w:val="20"/>
                <w:szCs w:val="20"/>
              </w:rPr>
              <w:t>2.2.7</w:t>
            </w:r>
          </w:p>
        </w:tc>
        <w:tc>
          <w:tcPr>
            <w:tcW w:w="8842" w:type="dxa"/>
            <w:gridSpan w:val="4"/>
            <w:tcBorders>
              <w:top w:val="nil"/>
              <w:left w:val="nil"/>
              <w:bottom w:val="nil"/>
              <w:right w:val="nil"/>
            </w:tcBorders>
          </w:tcPr>
          <w:p w:rsidR="001D6442" w:rsidRDefault="001D6442" w:rsidP="001D6442">
            <w:pPr>
              <w:ind w:left="720" w:right="-22" w:hanging="720"/>
              <w:jc w:val="both"/>
              <w:rPr>
                <w:rFonts w:ascii="Arial" w:hAnsi="Arial" w:cs="Arial"/>
                <w:sz w:val="20"/>
                <w:szCs w:val="20"/>
                <w:u w:val="single"/>
              </w:rPr>
            </w:pPr>
            <w:r>
              <w:rPr>
                <w:rFonts w:ascii="Arial" w:hAnsi="Arial" w:cs="Arial"/>
                <w:sz w:val="20"/>
                <w:szCs w:val="20"/>
                <w:u w:val="single"/>
              </w:rPr>
              <w:t>Minute</w:t>
            </w:r>
            <w:r w:rsidR="00CA4AC9">
              <w:rPr>
                <w:rFonts w:ascii="Arial" w:hAnsi="Arial" w:cs="Arial"/>
                <w:sz w:val="20"/>
                <w:szCs w:val="20"/>
                <w:u w:val="single"/>
              </w:rPr>
              <w:t xml:space="preserve"> 4.2.1.6 – Faculty Quality Reports – Anglo-European College of Chiropractic (AECC)</w:t>
            </w:r>
          </w:p>
          <w:p w:rsidR="00CA4AC9" w:rsidRDefault="00CA4AC9" w:rsidP="00F8421C">
            <w:pPr>
              <w:ind w:right="-22"/>
              <w:jc w:val="both"/>
              <w:rPr>
                <w:rFonts w:ascii="Arial" w:hAnsi="Arial" w:cs="Arial"/>
                <w:i/>
                <w:sz w:val="20"/>
                <w:szCs w:val="20"/>
              </w:rPr>
            </w:pPr>
            <w:r w:rsidRPr="009772D9">
              <w:rPr>
                <w:rFonts w:ascii="Arial" w:hAnsi="Arial" w:cs="Arial"/>
                <w:i/>
                <w:sz w:val="20"/>
                <w:szCs w:val="20"/>
              </w:rPr>
              <w:t>Following a discussion regarding the addition of assessment of written theory to the BSc Clinical Exercise Science programme rather than students having just a practical exam, Mr Thorkeldsen was requested to encapsulate the issue and the planned action in a short report which could be appended to the FQR so the Committee could understand how the issue had been discussed at the Assessment Board and the action which had arisen from the discussion.</w:t>
            </w:r>
          </w:p>
          <w:p w:rsidR="00D65FB9" w:rsidRDefault="00D65FB9" w:rsidP="00F8421C">
            <w:pPr>
              <w:ind w:right="-22"/>
              <w:jc w:val="both"/>
              <w:rPr>
                <w:rFonts w:ascii="Arial" w:hAnsi="Arial" w:cs="Arial"/>
                <w:i/>
                <w:sz w:val="20"/>
                <w:szCs w:val="20"/>
              </w:rPr>
            </w:pPr>
          </w:p>
          <w:p w:rsidR="00D65FB9" w:rsidRPr="009772D9" w:rsidRDefault="00D65FB9" w:rsidP="00F8421C">
            <w:pPr>
              <w:ind w:right="-22"/>
              <w:jc w:val="both"/>
              <w:rPr>
                <w:rFonts w:ascii="Arial" w:hAnsi="Arial" w:cs="Arial"/>
                <w:i/>
                <w:sz w:val="20"/>
                <w:szCs w:val="20"/>
              </w:rPr>
            </w:pPr>
          </w:p>
          <w:p w:rsidR="00CA4AC9" w:rsidRDefault="00CA4AC9" w:rsidP="00F8421C">
            <w:pPr>
              <w:ind w:right="-22"/>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A short summary had been added to the end of the report as Appendix 1 under Section B, 2b (last row, end column).  </w:t>
            </w:r>
          </w:p>
          <w:p w:rsidR="00C756A6" w:rsidRDefault="00C756A6" w:rsidP="00AD2767">
            <w:pPr>
              <w:ind w:left="34" w:right="-22" w:hanging="34"/>
              <w:jc w:val="both"/>
              <w:rPr>
                <w:rFonts w:ascii="Arial" w:hAnsi="Arial" w:cs="Arial"/>
                <w:sz w:val="20"/>
                <w:szCs w:val="20"/>
              </w:rPr>
            </w:pPr>
          </w:p>
        </w:tc>
      </w:tr>
      <w:tr w:rsidR="00257EE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257EE7" w:rsidRDefault="001D6442">
            <w:pPr>
              <w:rPr>
                <w:rFonts w:ascii="Arial" w:hAnsi="Arial" w:cs="Arial"/>
                <w:sz w:val="20"/>
                <w:szCs w:val="20"/>
              </w:rPr>
            </w:pPr>
            <w:r>
              <w:rPr>
                <w:rFonts w:ascii="Arial" w:hAnsi="Arial" w:cs="Arial"/>
                <w:sz w:val="20"/>
                <w:szCs w:val="20"/>
              </w:rPr>
              <w:lastRenderedPageBreak/>
              <w:t>2.2.8</w:t>
            </w:r>
          </w:p>
        </w:tc>
        <w:tc>
          <w:tcPr>
            <w:tcW w:w="8842" w:type="dxa"/>
            <w:gridSpan w:val="4"/>
            <w:tcBorders>
              <w:top w:val="nil"/>
              <w:left w:val="nil"/>
              <w:bottom w:val="nil"/>
              <w:right w:val="nil"/>
            </w:tcBorders>
          </w:tcPr>
          <w:p w:rsidR="00CA4AC9" w:rsidRDefault="001D6442" w:rsidP="00CA4AC9">
            <w:pPr>
              <w:ind w:left="720" w:right="-22" w:hanging="720"/>
              <w:jc w:val="both"/>
              <w:rPr>
                <w:rFonts w:ascii="Arial" w:hAnsi="Arial" w:cs="Arial"/>
                <w:sz w:val="20"/>
                <w:szCs w:val="20"/>
                <w:u w:val="single"/>
              </w:rPr>
            </w:pPr>
            <w:r>
              <w:rPr>
                <w:rFonts w:ascii="Arial" w:hAnsi="Arial" w:cs="Arial"/>
                <w:sz w:val="20"/>
                <w:szCs w:val="20"/>
                <w:u w:val="single"/>
              </w:rPr>
              <w:t>Minute</w:t>
            </w:r>
            <w:r w:rsidR="00CA4AC9">
              <w:rPr>
                <w:rFonts w:ascii="Arial" w:hAnsi="Arial" w:cs="Arial"/>
                <w:sz w:val="20"/>
                <w:szCs w:val="20"/>
                <w:u w:val="single"/>
              </w:rPr>
              <w:t xml:space="preserve"> 4.2.1.7 - Faculty Quality Reports – Anglo-European College of Chiropractic (AECC)</w:t>
            </w:r>
          </w:p>
          <w:p w:rsidR="001D6442" w:rsidRDefault="00CA4AC9" w:rsidP="00F8421C">
            <w:pPr>
              <w:ind w:right="-22"/>
              <w:jc w:val="both"/>
              <w:rPr>
                <w:rFonts w:ascii="Arial" w:hAnsi="Arial" w:cs="Arial"/>
                <w:i/>
                <w:sz w:val="20"/>
                <w:szCs w:val="20"/>
              </w:rPr>
            </w:pPr>
            <w:r w:rsidRPr="00CA4AC9">
              <w:rPr>
                <w:rFonts w:ascii="Arial" w:hAnsi="Arial" w:cs="Arial"/>
                <w:i/>
                <w:sz w:val="20"/>
                <w:szCs w:val="20"/>
              </w:rPr>
              <w:t xml:space="preserve">The action regarding Organisation </w:t>
            </w:r>
            <w:r w:rsidR="00F8421C">
              <w:rPr>
                <w:rFonts w:ascii="Arial" w:hAnsi="Arial" w:cs="Arial"/>
                <w:i/>
                <w:sz w:val="20"/>
                <w:szCs w:val="20"/>
              </w:rPr>
              <w:t>and</w:t>
            </w:r>
            <w:r w:rsidRPr="00CA4AC9">
              <w:rPr>
                <w:rFonts w:ascii="Arial" w:hAnsi="Arial" w:cs="Arial"/>
                <w:i/>
                <w:sz w:val="20"/>
                <w:szCs w:val="20"/>
              </w:rPr>
              <w:t xml:space="preserve"> Management was listed in the 2014/15 Action Plan as complete, but was also listed on the New Actions List for 2015/16. It was suggested that the action on the 2014/15 Action Plan should be listed as ongoing and then removed as a new addition from the 2015/16 Actions List.</w:t>
            </w:r>
          </w:p>
          <w:p w:rsidR="00CA4AC9" w:rsidRDefault="00CA4AC9" w:rsidP="00CA4AC9">
            <w:pPr>
              <w:ind w:right="-22"/>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Section C had been amended accordingly.</w:t>
            </w:r>
          </w:p>
          <w:p w:rsidR="00C756A6" w:rsidRDefault="001D6442" w:rsidP="00AD2767">
            <w:pPr>
              <w:ind w:left="34" w:right="-22" w:hanging="34"/>
              <w:jc w:val="both"/>
              <w:rPr>
                <w:rFonts w:ascii="Arial" w:hAnsi="Arial" w:cs="Arial"/>
                <w:sz w:val="20"/>
                <w:szCs w:val="20"/>
              </w:rPr>
            </w:pPr>
            <w:r>
              <w:rPr>
                <w:rFonts w:ascii="Arial" w:hAnsi="Arial" w:cs="Arial"/>
                <w:sz w:val="20"/>
                <w:szCs w:val="20"/>
              </w:rPr>
              <w:tab/>
            </w:r>
          </w:p>
        </w:tc>
      </w:tr>
      <w:tr w:rsidR="00257EE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257EE7" w:rsidRDefault="001D6442">
            <w:pPr>
              <w:rPr>
                <w:rFonts w:ascii="Arial" w:hAnsi="Arial" w:cs="Arial"/>
                <w:sz w:val="20"/>
                <w:szCs w:val="20"/>
              </w:rPr>
            </w:pPr>
            <w:r>
              <w:rPr>
                <w:rFonts w:ascii="Arial" w:hAnsi="Arial" w:cs="Arial"/>
                <w:sz w:val="20"/>
                <w:szCs w:val="20"/>
              </w:rPr>
              <w:t>2.2.9</w:t>
            </w:r>
          </w:p>
        </w:tc>
        <w:tc>
          <w:tcPr>
            <w:tcW w:w="8842" w:type="dxa"/>
            <w:gridSpan w:val="4"/>
            <w:tcBorders>
              <w:top w:val="nil"/>
              <w:left w:val="nil"/>
              <w:bottom w:val="nil"/>
              <w:right w:val="nil"/>
            </w:tcBorders>
          </w:tcPr>
          <w:p w:rsidR="00CA4AC9" w:rsidRDefault="00AD2767" w:rsidP="00AD2767">
            <w:pPr>
              <w:ind w:left="720" w:right="-22" w:hanging="720"/>
              <w:jc w:val="both"/>
              <w:rPr>
                <w:rFonts w:ascii="Arial" w:hAnsi="Arial" w:cs="Arial"/>
                <w:sz w:val="20"/>
                <w:szCs w:val="20"/>
              </w:rPr>
            </w:pPr>
            <w:r>
              <w:rPr>
                <w:rFonts w:ascii="Arial" w:hAnsi="Arial" w:cs="Arial"/>
                <w:sz w:val="20"/>
                <w:szCs w:val="20"/>
                <w:u w:val="single"/>
              </w:rPr>
              <w:t>Minute</w:t>
            </w:r>
            <w:r w:rsidR="00CA4AC9">
              <w:rPr>
                <w:rFonts w:ascii="Arial" w:hAnsi="Arial" w:cs="Arial"/>
                <w:sz w:val="20"/>
                <w:szCs w:val="20"/>
                <w:u w:val="single"/>
              </w:rPr>
              <w:t xml:space="preserve"> 4.2.1.20 – Faculty Quality Report – Faculty of Management (FM)</w:t>
            </w:r>
          </w:p>
          <w:p w:rsidR="00AD2767" w:rsidRDefault="00CA4AC9" w:rsidP="00F8421C">
            <w:pPr>
              <w:ind w:right="-22"/>
              <w:jc w:val="both"/>
              <w:rPr>
                <w:rFonts w:ascii="Arial" w:hAnsi="Arial" w:cs="Arial"/>
                <w:sz w:val="20"/>
                <w:szCs w:val="20"/>
                <w:u w:val="single"/>
              </w:rPr>
            </w:pPr>
            <w:r w:rsidRPr="00CA4AC9">
              <w:rPr>
                <w:rFonts w:ascii="Arial" w:hAnsi="Arial" w:cs="Arial"/>
                <w:i/>
                <w:sz w:val="20"/>
                <w:szCs w:val="20"/>
              </w:rPr>
              <w:t xml:space="preserve">With regards to 3WAT, there was still further work to be carried out to help colleagues meet the requirements and improve on 83% in turning around work to students. This applied to all Faculties with the exception of FHSS. The FM IMP would be amended to adopt an approach of contingency planning and will identify stand-by staff for occasions when </w:t>
            </w:r>
            <w:proofErr w:type="gramStart"/>
            <w:r w:rsidRPr="00CA4AC9">
              <w:rPr>
                <w:rFonts w:ascii="Arial" w:hAnsi="Arial" w:cs="Arial"/>
                <w:i/>
                <w:sz w:val="20"/>
                <w:szCs w:val="20"/>
              </w:rPr>
              <w:t>staff were</w:t>
            </w:r>
            <w:proofErr w:type="gramEnd"/>
            <w:r w:rsidRPr="00CA4AC9">
              <w:rPr>
                <w:rFonts w:ascii="Arial" w:hAnsi="Arial" w:cs="Arial"/>
                <w:i/>
                <w:sz w:val="20"/>
                <w:szCs w:val="20"/>
              </w:rPr>
              <w:t xml:space="preserve"> not available, e.g. staff illness.</w:t>
            </w:r>
            <w:r w:rsidR="00AD2767" w:rsidRPr="00CA4AC9">
              <w:rPr>
                <w:rFonts w:ascii="Arial" w:hAnsi="Arial" w:cs="Arial"/>
                <w:i/>
                <w:sz w:val="20"/>
                <w:szCs w:val="20"/>
                <w:u w:val="single"/>
              </w:rPr>
              <w:t xml:space="preserve"> </w:t>
            </w:r>
          </w:p>
          <w:p w:rsidR="00CA4AC9" w:rsidRDefault="00CA4AC9" w:rsidP="00F8421C">
            <w:pPr>
              <w:ind w:right="-22"/>
              <w:jc w:val="both"/>
              <w:rPr>
                <w:rFonts w:ascii="Arial" w:hAnsi="Arial" w:cs="Arial"/>
                <w:sz w:val="20"/>
                <w:szCs w:val="20"/>
              </w:rPr>
            </w:pPr>
            <w:r w:rsidRPr="00CA4AC9">
              <w:rPr>
                <w:rFonts w:ascii="Arial" w:hAnsi="Arial" w:cs="Arial"/>
                <w:b/>
                <w:sz w:val="20"/>
                <w:szCs w:val="20"/>
              </w:rPr>
              <w:t>Action Completed:</w:t>
            </w:r>
            <w:r w:rsidRPr="00CA4AC9">
              <w:rPr>
                <w:rFonts w:ascii="Arial" w:hAnsi="Arial" w:cs="Arial"/>
                <w:sz w:val="20"/>
                <w:szCs w:val="20"/>
              </w:rPr>
              <w:t xml:space="preserve">  </w:t>
            </w:r>
            <w:r>
              <w:rPr>
                <w:rFonts w:ascii="Arial" w:hAnsi="Arial" w:cs="Arial"/>
                <w:sz w:val="20"/>
                <w:szCs w:val="20"/>
              </w:rPr>
              <w:t>This issue had been discussed at FASC meetings and Faculty Exec</w:t>
            </w:r>
            <w:r w:rsidR="009772D9">
              <w:rPr>
                <w:rFonts w:ascii="Arial" w:hAnsi="Arial" w:cs="Arial"/>
                <w:sz w:val="20"/>
                <w:szCs w:val="20"/>
              </w:rPr>
              <w:t>utive</w:t>
            </w:r>
            <w:r>
              <w:rPr>
                <w:rFonts w:ascii="Arial" w:hAnsi="Arial" w:cs="Arial"/>
                <w:sz w:val="20"/>
                <w:szCs w:val="20"/>
              </w:rPr>
              <w:t xml:space="preserve"> meetings to ensure the figure of 83% could be improved upon moving forward.</w:t>
            </w:r>
            <w:r w:rsidR="009772D9">
              <w:rPr>
                <w:rFonts w:ascii="Arial" w:hAnsi="Arial" w:cs="Arial"/>
                <w:sz w:val="20"/>
                <w:szCs w:val="20"/>
              </w:rPr>
              <w:t xml:space="preserve"> DDEPPs confirmed that 3WAT was being monitored closely within Faculties although it was a challenge.  </w:t>
            </w:r>
          </w:p>
          <w:p w:rsidR="00C756A6" w:rsidRDefault="00C756A6" w:rsidP="00AD2767">
            <w:pPr>
              <w:ind w:left="720" w:right="-22" w:hanging="720"/>
              <w:jc w:val="both"/>
              <w:rPr>
                <w:rFonts w:ascii="Arial" w:hAnsi="Arial" w:cs="Arial"/>
                <w:sz w:val="20"/>
                <w:szCs w:val="20"/>
              </w:rPr>
            </w:pPr>
          </w:p>
        </w:tc>
      </w:tr>
      <w:tr w:rsidR="00257EE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257EE7" w:rsidRDefault="001D6442">
            <w:pPr>
              <w:rPr>
                <w:rFonts w:ascii="Arial" w:hAnsi="Arial" w:cs="Arial"/>
                <w:sz w:val="20"/>
                <w:szCs w:val="20"/>
              </w:rPr>
            </w:pPr>
            <w:r>
              <w:rPr>
                <w:rFonts w:ascii="Arial" w:hAnsi="Arial" w:cs="Arial"/>
                <w:sz w:val="20"/>
                <w:szCs w:val="20"/>
              </w:rPr>
              <w:t>2.2.10</w:t>
            </w:r>
          </w:p>
          <w:p w:rsidR="00CA4AC9" w:rsidRDefault="00CA4AC9">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r>
              <w:rPr>
                <w:rFonts w:ascii="Arial" w:hAnsi="Arial" w:cs="Arial"/>
                <w:sz w:val="20"/>
                <w:szCs w:val="20"/>
              </w:rPr>
              <w:t>2.2.11</w:t>
            </w:r>
          </w:p>
          <w:p w:rsidR="00CA4AC9" w:rsidRDefault="00CA4AC9">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p>
          <w:p w:rsidR="0024004F" w:rsidRDefault="0024004F">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r>
              <w:rPr>
                <w:rFonts w:ascii="Arial" w:hAnsi="Arial" w:cs="Arial"/>
                <w:sz w:val="20"/>
                <w:szCs w:val="20"/>
              </w:rPr>
              <w:t>2.2.12</w:t>
            </w:r>
          </w:p>
          <w:p w:rsidR="00CA4AC9" w:rsidRDefault="00CA4AC9">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r>
              <w:rPr>
                <w:rFonts w:ascii="Arial" w:hAnsi="Arial" w:cs="Arial"/>
                <w:sz w:val="20"/>
                <w:szCs w:val="20"/>
              </w:rPr>
              <w:t>2.2.13</w:t>
            </w:r>
          </w:p>
          <w:p w:rsidR="00CA4AC9" w:rsidRDefault="00CA4AC9">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p>
          <w:p w:rsidR="00CA4AC9" w:rsidRDefault="00CA4AC9">
            <w:pPr>
              <w:rPr>
                <w:rFonts w:ascii="Arial" w:hAnsi="Arial" w:cs="Arial"/>
                <w:sz w:val="20"/>
                <w:szCs w:val="20"/>
              </w:rPr>
            </w:pPr>
            <w:r>
              <w:rPr>
                <w:rFonts w:ascii="Arial" w:hAnsi="Arial" w:cs="Arial"/>
                <w:sz w:val="20"/>
                <w:szCs w:val="20"/>
              </w:rPr>
              <w:t>2.2.14</w:t>
            </w:r>
          </w:p>
        </w:tc>
        <w:tc>
          <w:tcPr>
            <w:tcW w:w="8842" w:type="dxa"/>
            <w:gridSpan w:val="4"/>
            <w:tcBorders>
              <w:top w:val="nil"/>
              <w:left w:val="nil"/>
              <w:bottom w:val="nil"/>
              <w:right w:val="nil"/>
            </w:tcBorders>
          </w:tcPr>
          <w:p w:rsidR="001D6442" w:rsidRDefault="001D6442" w:rsidP="001D6442">
            <w:pPr>
              <w:ind w:left="720" w:right="-22" w:hanging="720"/>
              <w:jc w:val="both"/>
              <w:rPr>
                <w:rFonts w:ascii="Arial" w:hAnsi="Arial" w:cs="Arial"/>
                <w:sz w:val="20"/>
                <w:szCs w:val="20"/>
              </w:rPr>
            </w:pPr>
            <w:r>
              <w:rPr>
                <w:rFonts w:ascii="Arial" w:hAnsi="Arial" w:cs="Arial"/>
                <w:sz w:val="20"/>
                <w:szCs w:val="20"/>
                <w:u w:val="single"/>
              </w:rPr>
              <w:t>Minute</w:t>
            </w:r>
            <w:r w:rsidR="00CA4AC9">
              <w:rPr>
                <w:rFonts w:ascii="Arial" w:hAnsi="Arial" w:cs="Arial"/>
                <w:sz w:val="20"/>
                <w:szCs w:val="20"/>
                <w:u w:val="single"/>
              </w:rPr>
              <w:t xml:space="preserve"> 4.5.1 – FM Deferral: Review of FdA Business &amp; Management, Yeovil College</w:t>
            </w:r>
          </w:p>
          <w:p w:rsidR="00CA4AC9" w:rsidRDefault="00CA4AC9" w:rsidP="00F8421C">
            <w:pPr>
              <w:ind w:right="-22"/>
              <w:jc w:val="both"/>
              <w:rPr>
                <w:rFonts w:ascii="Arial" w:hAnsi="Arial" w:cs="Arial"/>
                <w:sz w:val="20"/>
                <w:szCs w:val="20"/>
              </w:rPr>
            </w:pPr>
            <w:r>
              <w:rPr>
                <w:rFonts w:ascii="Arial" w:hAnsi="Arial" w:cs="Arial"/>
                <w:i/>
                <w:sz w:val="20"/>
                <w:szCs w:val="20"/>
              </w:rPr>
              <w:t>Members agreed that the suspension/closure of the programme should be considered by the FM Executive before further consideration is given by the Committee.</w:t>
            </w:r>
          </w:p>
          <w:p w:rsidR="00CA4AC9" w:rsidRDefault="00CA4AC9" w:rsidP="00F8421C">
            <w:pPr>
              <w:ind w:right="-22"/>
              <w:jc w:val="both"/>
              <w:rPr>
                <w:rFonts w:ascii="Arial" w:hAnsi="Arial" w:cs="Arial"/>
                <w:color w:val="000000"/>
                <w:sz w:val="20"/>
                <w:szCs w:val="20"/>
              </w:rPr>
            </w:pPr>
            <w:r>
              <w:rPr>
                <w:rFonts w:ascii="Arial" w:hAnsi="Arial" w:cs="Arial"/>
                <w:b/>
                <w:sz w:val="20"/>
                <w:szCs w:val="20"/>
              </w:rPr>
              <w:t>Action Completed:</w:t>
            </w:r>
            <w:r>
              <w:rPr>
                <w:rFonts w:ascii="Arial" w:hAnsi="Arial" w:cs="Arial"/>
                <w:sz w:val="20"/>
                <w:szCs w:val="20"/>
              </w:rPr>
              <w:t xml:space="preserve">  </w:t>
            </w:r>
            <w:r w:rsidRPr="002C571D">
              <w:rPr>
                <w:rFonts w:ascii="Arial" w:hAnsi="Arial" w:cs="Arial"/>
                <w:color w:val="000000"/>
                <w:sz w:val="20"/>
                <w:szCs w:val="20"/>
              </w:rPr>
              <w:t>The FM Exec</w:t>
            </w:r>
            <w:r w:rsidR="00F8421C">
              <w:rPr>
                <w:rFonts w:ascii="Arial" w:hAnsi="Arial" w:cs="Arial"/>
                <w:color w:val="000000"/>
                <w:sz w:val="20"/>
                <w:szCs w:val="20"/>
              </w:rPr>
              <w:t>utive</w:t>
            </w:r>
            <w:r w:rsidRPr="002C571D">
              <w:rPr>
                <w:rFonts w:ascii="Arial" w:hAnsi="Arial" w:cs="Arial"/>
                <w:color w:val="000000"/>
                <w:sz w:val="20"/>
                <w:szCs w:val="20"/>
              </w:rPr>
              <w:t xml:space="preserve"> </w:t>
            </w:r>
            <w:r w:rsidR="009772D9">
              <w:rPr>
                <w:rFonts w:ascii="Arial" w:hAnsi="Arial" w:cs="Arial"/>
                <w:color w:val="000000"/>
                <w:sz w:val="20"/>
                <w:szCs w:val="20"/>
              </w:rPr>
              <w:t xml:space="preserve">had </w:t>
            </w:r>
            <w:r w:rsidRPr="002C571D">
              <w:rPr>
                <w:rFonts w:ascii="Arial" w:hAnsi="Arial" w:cs="Arial"/>
                <w:color w:val="000000"/>
                <w:sz w:val="20"/>
                <w:szCs w:val="20"/>
              </w:rPr>
              <w:t>reviewed the positio</w:t>
            </w:r>
            <w:r w:rsidR="009772D9">
              <w:rPr>
                <w:rFonts w:ascii="Arial" w:hAnsi="Arial" w:cs="Arial"/>
                <w:color w:val="000000"/>
                <w:sz w:val="20"/>
                <w:szCs w:val="20"/>
              </w:rPr>
              <w:t xml:space="preserve">n of the FdA and decided that the programme </w:t>
            </w:r>
            <w:r w:rsidRPr="002C571D">
              <w:rPr>
                <w:rFonts w:ascii="Arial" w:hAnsi="Arial" w:cs="Arial"/>
                <w:color w:val="000000"/>
                <w:sz w:val="20"/>
                <w:szCs w:val="20"/>
              </w:rPr>
              <w:t>sh</w:t>
            </w:r>
            <w:r w:rsidR="009772D9">
              <w:rPr>
                <w:rFonts w:ascii="Arial" w:hAnsi="Arial" w:cs="Arial"/>
                <w:color w:val="000000"/>
                <w:sz w:val="20"/>
                <w:szCs w:val="20"/>
              </w:rPr>
              <w:t>ould be closed.  Recruitment had</w:t>
            </w:r>
            <w:r w:rsidRPr="002C571D">
              <w:rPr>
                <w:rFonts w:ascii="Arial" w:hAnsi="Arial" w:cs="Arial"/>
                <w:color w:val="000000"/>
                <w:sz w:val="20"/>
                <w:szCs w:val="20"/>
              </w:rPr>
              <w:t xml:space="preserve"> fallen too far for BU to have confidence that student </w:t>
            </w:r>
            <w:r w:rsidR="009772D9">
              <w:rPr>
                <w:rFonts w:ascii="Arial" w:hAnsi="Arial" w:cs="Arial"/>
                <w:color w:val="000000"/>
                <w:sz w:val="20"/>
                <w:szCs w:val="20"/>
              </w:rPr>
              <w:t>experience could</w:t>
            </w:r>
            <w:r w:rsidRPr="002C571D">
              <w:rPr>
                <w:rFonts w:ascii="Arial" w:hAnsi="Arial" w:cs="Arial"/>
                <w:color w:val="000000"/>
                <w:sz w:val="20"/>
                <w:szCs w:val="20"/>
              </w:rPr>
              <w:t xml:space="preserve"> be assured as being satisfactory. Yeovil College ha</w:t>
            </w:r>
            <w:r w:rsidR="009772D9">
              <w:rPr>
                <w:rFonts w:ascii="Arial" w:hAnsi="Arial" w:cs="Arial"/>
                <w:color w:val="000000"/>
                <w:sz w:val="20"/>
                <w:szCs w:val="20"/>
              </w:rPr>
              <w:t>d</w:t>
            </w:r>
            <w:r w:rsidRPr="002C571D">
              <w:rPr>
                <w:rFonts w:ascii="Arial" w:hAnsi="Arial" w:cs="Arial"/>
                <w:color w:val="000000"/>
                <w:sz w:val="20"/>
                <w:szCs w:val="20"/>
              </w:rPr>
              <w:t xml:space="preserve"> been informed and </w:t>
            </w:r>
            <w:r w:rsidR="009772D9">
              <w:rPr>
                <w:rFonts w:ascii="Arial" w:hAnsi="Arial" w:cs="Arial"/>
                <w:color w:val="000000"/>
                <w:sz w:val="20"/>
                <w:szCs w:val="20"/>
              </w:rPr>
              <w:t xml:space="preserve">now </w:t>
            </w:r>
            <w:r w:rsidRPr="002C571D">
              <w:rPr>
                <w:rFonts w:ascii="Arial" w:hAnsi="Arial" w:cs="Arial"/>
                <w:color w:val="000000"/>
                <w:sz w:val="20"/>
                <w:szCs w:val="20"/>
              </w:rPr>
              <w:t>await the formal clo</w:t>
            </w:r>
            <w:r w:rsidR="009772D9">
              <w:rPr>
                <w:rFonts w:ascii="Arial" w:hAnsi="Arial" w:cs="Arial"/>
                <w:color w:val="000000"/>
                <w:sz w:val="20"/>
                <w:szCs w:val="20"/>
              </w:rPr>
              <w:t>sure process steps. The FM would</w:t>
            </w:r>
            <w:r w:rsidRPr="002C571D">
              <w:rPr>
                <w:rFonts w:ascii="Arial" w:hAnsi="Arial" w:cs="Arial"/>
                <w:color w:val="000000"/>
                <w:sz w:val="20"/>
                <w:szCs w:val="20"/>
              </w:rPr>
              <w:t xml:space="preserve"> continue to provide support. </w:t>
            </w:r>
          </w:p>
          <w:p w:rsidR="0024004F" w:rsidRDefault="0024004F" w:rsidP="00CA4AC9">
            <w:pPr>
              <w:ind w:right="-22"/>
              <w:rPr>
                <w:rFonts w:ascii="Arial" w:hAnsi="Arial" w:cs="Arial"/>
                <w:color w:val="000000"/>
                <w:sz w:val="20"/>
                <w:szCs w:val="20"/>
              </w:rPr>
            </w:pPr>
          </w:p>
          <w:p w:rsidR="00CA4AC9" w:rsidRDefault="00CA4AC9" w:rsidP="00CA4AC9">
            <w:pPr>
              <w:ind w:right="-22"/>
              <w:rPr>
                <w:rFonts w:ascii="Arial" w:hAnsi="Arial" w:cs="Arial"/>
                <w:color w:val="000000"/>
                <w:sz w:val="20"/>
                <w:szCs w:val="20"/>
              </w:rPr>
            </w:pPr>
            <w:r>
              <w:rPr>
                <w:rFonts w:ascii="Arial" w:hAnsi="Arial" w:cs="Arial"/>
                <w:color w:val="000000"/>
                <w:sz w:val="20"/>
                <w:szCs w:val="20"/>
                <w:u w:val="single"/>
              </w:rPr>
              <w:t>Minute 5.4.2 – Pending External Examiners</w:t>
            </w:r>
          </w:p>
          <w:p w:rsidR="00CA4AC9" w:rsidRDefault="00CA4AC9" w:rsidP="00F8421C">
            <w:pPr>
              <w:ind w:right="-22"/>
              <w:jc w:val="both"/>
              <w:rPr>
                <w:rFonts w:ascii="Arial" w:hAnsi="Arial" w:cs="Arial"/>
                <w:i/>
                <w:sz w:val="20"/>
                <w:szCs w:val="20"/>
              </w:rPr>
            </w:pPr>
            <w:r w:rsidRPr="00CA4AC9">
              <w:rPr>
                <w:rFonts w:ascii="Arial" w:hAnsi="Arial" w:cs="Arial"/>
                <w:i/>
                <w:sz w:val="20"/>
                <w:szCs w:val="20"/>
              </w:rPr>
              <w:t xml:space="preserve">Ms Symonds highlighted the FMC programmes where the Faculty had advised there were External Examiner </w:t>
            </w:r>
            <w:proofErr w:type="gramStart"/>
            <w:r w:rsidRPr="00CA4AC9">
              <w:rPr>
                <w:rFonts w:ascii="Arial" w:hAnsi="Arial" w:cs="Arial"/>
                <w:i/>
                <w:sz w:val="20"/>
                <w:szCs w:val="20"/>
              </w:rPr>
              <w:t>nominations,</w:t>
            </w:r>
            <w:proofErr w:type="gramEnd"/>
            <w:r w:rsidRPr="00CA4AC9">
              <w:rPr>
                <w:rFonts w:ascii="Arial" w:hAnsi="Arial" w:cs="Arial"/>
                <w:i/>
                <w:sz w:val="20"/>
                <w:szCs w:val="20"/>
              </w:rPr>
              <w:t xml:space="preserve"> however no paperwork had been received by EDQ. Dr Dyer agreed to contact the FMC Academic Administration Manager to help speed up the process.</w:t>
            </w:r>
          </w:p>
          <w:p w:rsidR="00CA4AC9" w:rsidRDefault="00CA4AC9" w:rsidP="00F8421C">
            <w:pPr>
              <w:ind w:right="-22"/>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Dr Dyer confirmed this had been completed through the FMC A</w:t>
            </w:r>
            <w:r w:rsidR="0024004F">
              <w:rPr>
                <w:rFonts w:ascii="Arial" w:hAnsi="Arial" w:cs="Arial"/>
                <w:sz w:val="20"/>
                <w:szCs w:val="20"/>
              </w:rPr>
              <w:t>cademic Administration Manager</w:t>
            </w:r>
            <w:r>
              <w:rPr>
                <w:rFonts w:ascii="Arial" w:hAnsi="Arial" w:cs="Arial"/>
                <w:sz w:val="20"/>
                <w:szCs w:val="20"/>
              </w:rPr>
              <w:t>.</w:t>
            </w:r>
          </w:p>
          <w:p w:rsidR="00CA4AC9" w:rsidRDefault="00CA4AC9" w:rsidP="00CA4AC9">
            <w:pPr>
              <w:ind w:right="-22"/>
              <w:rPr>
                <w:rFonts w:ascii="Arial" w:hAnsi="Arial" w:cs="Arial"/>
                <w:sz w:val="20"/>
                <w:szCs w:val="20"/>
              </w:rPr>
            </w:pPr>
          </w:p>
          <w:p w:rsidR="00CA4AC9" w:rsidRDefault="00CA4AC9" w:rsidP="00CA4AC9">
            <w:pPr>
              <w:ind w:right="-22"/>
              <w:rPr>
                <w:rFonts w:ascii="Arial" w:hAnsi="Arial" w:cs="Arial"/>
                <w:sz w:val="20"/>
                <w:szCs w:val="20"/>
              </w:rPr>
            </w:pPr>
            <w:r>
              <w:rPr>
                <w:rFonts w:ascii="Arial" w:hAnsi="Arial" w:cs="Arial"/>
                <w:sz w:val="20"/>
                <w:szCs w:val="20"/>
                <w:u w:val="single"/>
              </w:rPr>
              <w:t>Minute 5.4.3 – Pending External Examiners</w:t>
            </w:r>
          </w:p>
          <w:p w:rsidR="00CA4AC9" w:rsidRPr="00CA4AC9" w:rsidRDefault="00CA4AC9" w:rsidP="00F8421C">
            <w:pPr>
              <w:ind w:right="-22"/>
              <w:jc w:val="both"/>
              <w:rPr>
                <w:rFonts w:ascii="Arial" w:hAnsi="Arial" w:cs="Arial"/>
                <w:i/>
                <w:sz w:val="20"/>
                <w:szCs w:val="20"/>
              </w:rPr>
            </w:pPr>
            <w:r w:rsidRPr="00CA4AC9">
              <w:rPr>
                <w:rFonts w:ascii="Arial" w:hAnsi="Arial" w:cs="Arial"/>
                <w:i/>
                <w:sz w:val="20"/>
                <w:szCs w:val="20"/>
              </w:rPr>
              <w:t>Prof Phalp agreed to contact Prof David Osselton regarding the information for the FST External Examiner for the ApSci MSc programmes and provide Gill Sommerseth with an update.</w:t>
            </w:r>
          </w:p>
          <w:p w:rsidR="00CA4AC9" w:rsidRDefault="00CA4AC9" w:rsidP="00CA4AC9">
            <w:pPr>
              <w:ind w:right="-22"/>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Prof Phalp had provided Gill Sommerseth with updates.</w:t>
            </w:r>
          </w:p>
          <w:p w:rsidR="00CA4AC9" w:rsidRDefault="00CA4AC9" w:rsidP="00CA4AC9">
            <w:pPr>
              <w:ind w:right="-22"/>
              <w:rPr>
                <w:rFonts w:ascii="Arial" w:hAnsi="Arial" w:cs="Arial"/>
                <w:sz w:val="20"/>
                <w:szCs w:val="20"/>
              </w:rPr>
            </w:pPr>
          </w:p>
          <w:p w:rsidR="00CA4AC9" w:rsidRDefault="00CA4AC9" w:rsidP="00CA4AC9">
            <w:pPr>
              <w:ind w:right="-22"/>
              <w:rPr>
                <w:rFonts w:ascii="Arial" w:hAnsi="Arial" w:cs="Arial"/>
                <w:sz w:val="20"/>
                <w:szCs w:val="20"/>
              </w:rPr>
            </w:pPr>
            <w:r>
              <w:rPr>
                <w:rFonts w:ascii="Arial" w:hAnsi="Arial" w:cs="Arial"/>
                <w:sz w:val="20"/>
                <w:szCs w:val="20"/>
                <w:u w:val="single"/>
              </w:rPr>
              <w:t>Minute 5.4.5 – Pending External Examiners</w:t>
            </w:r>
          </w:p>
          <w:p w:rsidR="00CA4AC9" w:rsidRPr="0024004F" w:rsidRDefault="00CA4AC9" w:rsidP="00F8421C">
            <w:pPr>
              <w:ind w:right="-22"/>
              <w:jc w:val="both"/>
              <w:rPr>
                <w:rFonts w:ascii="Arial" w:hAnsi="Arial" w:cs="Arial"/>
                <w:i/>
                <w:sz w:val="20"/>
                <w:szCs w:val="20"/>
              </w:rPr>
            </w:pPr>
            <w:r w:rsidRPr="0024004F">
              <w:rPr>
                <w:rFonts w:ascii="Arial" w:hAnsi="Arial" w:cs="Arial"/>
                <w:i/>
                <w:sz w:val="20"/>
                <w:szCs w:val="20"/>
              </w:rPr>
              <w:t xml:space="preserve">A replacement External Examiner for the FdSc Communications Systems Engineering programme and the FdSc Communications Systems Management programme was being sought by Mike Jones of FST. Prof Phalp would advise Gill Sommerseth whether the current External Examiner would extend his responsibilities or whether a new External Examiner was to be appointed. The details of a new External Examiner should be passed to Gill Sommerseth in order </w:t>
            </w:r>
            <w:r w:rsidR="004C7ED0">
              <w:rPr>
                <w:rFonts w:ascii="Arial" w:hAnsi="Arial" w:cs="Arial"/>
                <w:i/>
                <w:sz w:val="20"/>
                <w:szCs w:val="20"/>
              </w:rPr>
              <w:t xml:space="preserve">for </w:t>
            </w:r>
            <w:r w:rsidRPr="0024004F">
              <w:rPr>
                <w:rFonts w:ascii="Arial" w:hAnsi="Arial" w:cs="Arial"/>
                <w:i/>
                <w:sz w:val="20"/>
                <w:szCs w:val="20"/>
              </w:rPr>
              <w:t xml:space="preserve">a contract </w:t>
            </w:r>
            <w:r w:rsidR="004C7ED0">
              <w:rPr>
                <w:rFonts w:ascii="Arial" w:hAnsi="Arial" w:cs="Arial"/>
                <w:i/>
                <w:sz w:val="20"/>
                <w:szCs w:val="20"/>
              </w:rPr>
              <w:t xml:space="preserve">to </w:t>
            </w:r>
            <w:r w:rsidRPr="0024004F">
              <w:rPr>
                <w:rFonts w:ascii="Arial" w:hAnsi="Arial" w:cs="Arial"/>
                <w:i/>
                <w:sz w:val="20"/>
                <w:szCs w:val="20"/>
              </w:rPr>
              <w:t>be put in place.</w:t>
            </w:r>
          </w:p>
          <w:p w:rsidR="00CA4AC9" w:rsidRDefault="00CA4AC9" w:rsidP="00F8421C">
            <w:pPr>
              <w:ind w:right="-22"/>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Prof Phalp confirmed that the current External Examiner would extend his responsibilities.</w:t>
            </w:r>
          </w:p>
          <w:p w:rsidR="00CA4AC9" w:rsidRDefault="00CA4AC9" w:rsidP="00CA4AC9">
            <w:pPr>
              <w:ind w:right="-22"/>
              <w:rPr>
                <w:rFonts w:ascii="Arial" w:hAnsi="Arial" w:cs="Arial"/>
                <w:sz w:val="20"/>
                <w:szCs w:val="20"/>
              </w:rPr>
            </w:pPr>
          </w:p>
          <w:p w:rsidR="00CA4AC9" w:rsidRDefault="00CA4AC9" w:rsidP="00CA4AC9">
            <w:pPr>
              <w:ind w:right="-22"/>
              <w:rPr>
                <w:rFonts w:ascii="Arial" w:hAnsi="Arial" w:cs="Arial"/>
                <w:sz w:val="20"/>
                <w:szCs w:val="20"/>
              </w:rPr>
            </w:pPr>
            <w:r>
              <w:rPr>
                <w:rFonts w:ascii="Arial" w:hAnsi="Arial" w:cs="Arial"/>
                <w:sz w:val="20"/>
                <w:szCs w:val="20"/>
                <w:u w:val="single"/>
              </w:rPr>
              <w:t>Minute 5.6.2 – QAA Action Plan – two years on update</w:t>
            </w:r>
          </w:p>
          <w:p w:rsidR="00CA4AC9" w:rsidRPr="00CA4AC9" w:rsidRDefault="00CA4AC9" w:rsidP="00F8421C">
            <w:pPr>
              <w:ind w:right="-22"/>
              <w:jc w:val="both"/>
              <w:rPr>
                <w:rFonts w:ascii="Arial" w:hAnsi="Arial" w:cs="Arial"/>
                <w:i/>
                <w:sz w:val="20"/>
                <w:szCs w:val="20"/>
              </w:rPr>
            </w:pPr>
            <w:r w:rsidRPr="00CA4AC9">
              <w:rPr>
                <w:rFonts w:ascii="Arial" w:hAnsi="Arial" w:cs="Arial"/>
                <w:i/>
                <w:sz w:val="20"/>
                <w:szCs w:val="20"/>
              </w:rPr>
              <w:t>Prof Rosser suggested that the action regarding the CEL should include some text advising that CEL was now a self-contained unit with one Director and a Deputy Head.  Ms Symonds agreed to include this text in the QAA Action Plan before it was uploaded to the BU website.</w:t>
            </w:r>
          </w:p>
          <w:p w:rsidR="00257EE7" w:rsidRDefault="00CA4AC9" w:rsidP="00F8421C">
            <w:pPr>
              <w:ind w:right="-22"/>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The text in the QAA Action Plan was amended and the final version was uploaded to the </w:t>
            </w:r>
            <w:r w:rsidR="0024004F">
              <w:rPr>
                <w:rFonts w:ascii="Arial" w:hAnsi="Arial" w:cs="Arial"/>
                <w:sz w:val="20"/>
                <w:szCs w:val="20"/>
              </w:rPr>
              <w:t>BU website on 11 December 2015.</w:t>
            </w:r>
          </w:p>
          <w:p w:rsidR="00452F73" w:rsidRDefault="00452F73" w:rsidP="00AD2767">
            <w:pPr>
              <w:ind w:left="34" w:right="-22" w:hanging="34"/>
              <w:jc w:val="both"/>
              <w:rPr>
                <w:rFonts w:ascii="Arial" w:hAnsi="Arial" w:cs="Arial"/>
                <w:sz w:val="20"/>
                <w:szCs w:val="20"/>
              </w:rPr>
            </w:pPr>
          </w:p>
        </w:tc>
      </w:tr>
      <w:tr w:rsidR="00257EE7" w:rsidTr="00AD2767">
        <w:tc>
          <w:tcPr>
            <w:tcW w:w="939" w:type="dxa"/>
          </w:tcPr>
          <w:p w:rsidR="00257EE7" w:rsidRDefault="00257EE7">
            <w:pPr>
              <w:rPr>
                <w:rFonts w:ascii="Arial" w:hAnsi="Arial" w:cs="Arial"/>
                <w:sz w:val="20"/>
                <w:szCs w:val="20"/>
              </w:rPr>
            </w:pPr>
          </w:p>
        </w:tc>
        <w:tc>
          <w:tcPr>
            <w:tcW w:w="8842" w:type="dxa"/>
            <w:gridSpan w:val="4"/>
          </w:tcPr>
          <w:p w:rsidR="001D6442" w:rsidRDefault="001D6442" w:rsidP="001D6442">
            <w:pPr>
              <w:ind w:left="34" w:right="-22" w:hanging="34"/>
              <w:jc w:val="both"/>
              <w:rPr>
                <w:rFonts w:ascii="Arial" w:hAnsi="Arial" w:cs="Arial"/>
                <w:sz w:val="20"/>
                <w:szCs w:val="20"/>
              </w:rPr>
            </w:pPr>
          </w:p>
          <w:p w:rsidR="00CB65C6" w:rsidRDefault="00CB65C6" w:rsidP="001D6442">
            <w:pPr>
              <w:ind w:left="34" w:right="-22" w:hanging="34"/>
              <w:jc w:val="both"/>
              <w:rPr>
                <w:rFonts w:ascii="Arial" w:hAnsi="Arial" w:cs="Arial"/>
                <w:sz w:val="20"/>
                <w:szCs w:val="20"/>
              </w:rPr>
            </w:pPr>
          </w:p>
          <w:p w:rsidR="00D65FB9" w:rsidRDefault="00D65FB9" w:rsidP="001D6442">
            <w:pPr>
              <w:ind w:left="34" w:right="-22" w:hanging="34"/>
              <w:jc w:val="both"/>
              <w:rPr>
                <w:rFonts w:ascii="Arial" w:hAnsi="Arial" w:cs="Arial"/>
                <w:sz w:val="20"/>
                <w:szCs w:val="20"/>
              </w:rPr>
            </w:pPr>
          </w:p>
          <w:p w:rsidR="00D65FB9" w:rsidRDefault="00D65FB9" w:rsidP="001D6442">
            <w:pPr>
              <w:ind w:left="34" w:right="-22" w:hanging="34"/>
              <w:jc w:val="both"/>
              <w:rPr>
                <w:rFonts w:ascii="Arial" w:hAnsi="Arial" w:cs="Arial"/>
                <w:sz w:val="20"/>
                <w:szCs w:val="20"/>
              </w:rPr>
            </w:pPr>
          </w:p>
          <w:p w:rsidR="00CB65C6" w:rsidRDefault="00CB65C6" w:rsidP="001D6442">
            <w:pPr>
              <w:ind w:left="34" w:right="-22" w:hanging="34"/>
              <w:jc w:val="both"/>
              <w:rPr>
                <w:rFonts w:ascii="Arial" w:hAnsi="Arial" w:cs="Arial"/>
                <w:sz w:val="20"/>
                <w:szCs w:val="20"/>
              </w:rPr>
            </w:pPr>
          </w:p>
        </w:tc>
      </w:tr>
      <w:tr w:rsidR="00257EE7" w:rsidTr="00AD2767">
        <w:tc>
          <w:tcPr>
            <w:tcW w:w="939" w:type="dxa"/>
          </w:tcPr>
          <w:p w:rsidR="00257EE7" w:rsidRPr="001D6442" w:rsidRDefault="001D6442">
            <w:pPr>
              <w:rPr>
                <w:rFonts w:ascii="Arial" w:hAnsi="Arial" w:cs="Arial"/>
                <w:b/>
                <w:sz w:val="20"/>
                <w:szCs w:val="20"/>
              </w:rPr>
            </w:pPr>
            <w:r>
              <w:rPr>
                <w:rFonts w:ascii="Arial" w:hAnsi="Arial" w:cs="Arial"/>
                <w:b/>
                <w:sz w:val="20"/>
                <w:szCs w:val="20"/>
              </w:rPr>
              <w:lastRenderedPageBreak/>
              <w:t>3</w:t>
            </w:r>
          </w:p>
        </w:tc>
        <w:tc>
          <w:tcPr>
            <w:tcW w:w="8842" w:type="dxa"/>
            <w:gridSpan w:val="4"/>
          </w:tcPr>
          <w:p w:rsidR="00257EE7" w:rsidRDefault="001D6442">
            <w:pPr>
              <w:rPr>
                <w:rFonts w:ascii="Arial" w:hAnsi="Arial" w:cs="Arial"/>
                <w:b/>
                <w:sz w:val="20"/>
                <w:szCs w:val="20"/>
              </w:rPr>
            </w:pPr>
            <w:r w:rsidRPr="00654C30">
              <w:rPr>
                <w:rFonts w:ascii="Arial" w:hAnsi="Arial" w:cs="Arial"/>
                <w:b/>
                <w:sz w:val="20"/>
                <w:szCs w:val="20"/>
              </w:rPr>
              <w:t>PART ONE</w:t>
            </w:r>
            <w:r>
              <w:rPr>
                <w:rFonts w:ascii="Arial" w:hAnsi="Arial" w:cs="Arial"/>
                <w:b/>
                <w:sz w:val="20"/>
                <w:szCs w:val="20"/>
              </w:rPr>
              <w:t>:  FOR DISCUSSION - INSTITUTIONAL MONITORING</w:t>
            </w:r>
          </w:p>
          <w:p w:rsidR="00C756A6" w:rsidRDefault="00C756A6">
            <w:pPr>
              <w:rPr>
                <w:rFonts w:ascii="Arial" w:hAnsi="Arial" w:cs="Arial"/>
                <w:sz w:val="20"/>
                <w:szCs w:val="20"/>
              </w:rPr>
            </w:pPr>
          </w:p>
        </w:tc>
      </w:tr>
      <w:tr w:rsidR="00257EE7" w:rsidTr="00AD2767">
        <w:tc>
          <w:tcPr>
            <w:tcW w:w="939" w:type="dxa"/>
          </w:tcPr>
          <w:p w:rsidR="00257EE7" w:rsidRPr="001D6442" w:rsidRDefault="001D6442">
            <w:pPr>
              <w:rPr>
                <w:rFonts w:ascii="Arial" w:hAnsi="Arial" w:cs="Arial"/>
                <w:sz w:val="20"/>
                <w:szCs w:val="20"/>
              </w:rPr>
            </w:pPr>
            <w:r>
              <w:rPr>
                <w:rFonts w:ascii="Arial" w:hAnsi="Arial" w:cs="Arial"/>
                <w:b/>
                <w:sz w:val="20"/>
                <w:szCs w:val="20"/>
              </w:rPr>
              <w:t>3.1</w:t>
            </w:r>
          </w:p>
        </w:tc>
        <w:tc>
          <w:tcPr>
            <w:tcW w:w="8842" w:type="dxa"/>
            <w:gridSpan w:val="4"/>
          </w:tcPr>
          <w:p w:rsidR="00643C63" w:rsidRDefault="00643C63" w:rsidP="001D6442">
            <w:pPr>
              <w:ind w:left="720" w:right="-22" w:hanging="720"/>
              <w:jc w:val="both"/>
              <w:rPr>
                <w:rFonts w:ascii="Arial" w:hAnsi="Arial" w:cs="Arial"/>
                <w:b/>
                <w:sz w:val="20"/>
                <w:szCs w:val="20"/>
              </w:rPr>
            </w:pPr>
            <w:r>
              <w:rPr>
                <w:rFonts w:ascii="Arial" w:hAnsi="Arial" w:cs="Arial"/>
                <w:b/>
                <w:sz w:val="20"/>
                <w:szCs w:val="20"/>
              </w:rPr>
              <w:t>Debate Item:  Student Achievement and Progression:  The implications of trailing fails</w:t>
            </w:r>
          </w:p>
          <w:p w:rsidR="00C756A6" w:rsidRDefault="001D6442" w:rsidP="00643C63">
            <w:pPr>
              <w:ind w:left="720" w:right="-22" w:hanging="720"/>
              <w:jc w:val="both"/>
              <w:rPr>
                <w:rFonts w:ascii="Arial" w:hAnsi="Arial" w:cs="Arial"/>
                <w:sz w:val="20"/>
                <w:szCs w:val="20"/>
              </w:rPr>
            </w:pPr>
            <w:r w:rsidRPr="00BA6E6D">
              <w:rPr>
                <w:rFonts w:ascii="Arial" w:hAnsi="Arial" w:cs="Arial"/>
                <w:sz w:val="20"/>
                <w:szCs w:val="20"/>
              </w:rPr>
              <w:t>(</w:t>
            </w:r>
            <w:r w:rsidR="00643C63">
              <w:rPr>
                <w:rFonts w:ascii="Arial" w:hAnsi="Arial" w:cs="Arial"/>
                <w:sz w:val="20"/>
                <w:szCs w:val="20"/>
              </w:rPr>
              <w:t>ASC-1516-60</w:t>
            </w:r>
            <w:r w:rsidRPr="00BA6E6D">
              <w:rPr>
                <w:rFonts w:ascii="Arial" w:hAnsi="Arial" w:cs="Arial"/>
                <w:sz w:val="20"/>
                <w:szCs w:val="20"/>
              </w:rPr>
              <w:t>)</w:t>
            </w:r>
          </w:p>
          <w:p w:rsidR="00643C63" w:rsidRPr="001D6442" w:rsidRDefault="00643C63" w:rsidP="00643C63">
            <w:pPr>
              <w:ind w:left="720" w:right="-22" w:hanging="720"/>
              <w:jc w:val="both"/>
              <w:rPr>
                <w:rFonts w:ascii="Arial" w:hAnsi="Arial" w:cs="Arial"/>
                <w:b/>
                <w:sz w:val="20"/>
                <w:szCs w:val="20"/>
              </w:rPr>
            </w:pPr>
          </w:p>
        </w:tc>
      </w:tr>
      <w:tr w:rsidR="003F2FDA" w:rsidTr="00AD2767">
        <w:tc>
          <w:tcPr>
            <w:tcW w:w="939" w:type="dxa"/>
          </w:tcPr>
          <w:p w:rsidR="003F2FDA" w:rsidRPr="003F2FDA" w:rsidRDefault="003F2FDA">
            <w:pPr>
              <w:rPr>
                <w:rFonts w:ascii="Arial" w:hAnsi="Arial" w:cs="Arial"/>
                <w:sz w:val="22"/>
                <w:szCs w:val="20"/>
              </w:rPr>
            </w:pPr>
            <w:r w:rsidRPr="003F2FDA">
              <w:rPr>
                <w:rFonts w:ascii="Arial" w:hAnsi="Arial" w:cs="Arial"/>
                <w:sz w:val="22"/>
                <w:szCs w:val="20"/>
              </w:rPr>
              <w:t>3.1.1</w:t>
            </w:r>
          </w:p>
        </w:tc>
        <w:tc>
          <w:tcPr>
            <w:tcW w:w="8842" w:type="dxa"/>
            <w:gridSpan w:val="4"/>
          </w:tcPr>
          <w:p w:rsidR="003F2FDA" w:rsidRDefault="003F2FDA" w:rsidP="00F8421C">
            <w:pPr>
              <w:ind w:right="-22"/>
              <w:jc w:val="both"/>
              <w:rPr>
                <w:rFonts w:ascii="Arial" w:hAnsi="Arial" w:cs="Arial"/>
                <w:sz w:val="20"/>
                <w:szCs w:val="20"/>
              </w:rPr>
            </w:pPr>
            <w:r>
              <w:rPr>
                <w:rFonts w:ascii="Arial" w:hAnsi="Arial" w:cs="Arial"/>
                <w:sz w:val="20"/>
                <w:szCs w:val="20"/>
              </w:rPr>
              <w:t xml:space="preserve">Following a discussion at the October University Leadership Team (ULT) meeting regarding student progression following failure, it was agreed that a review of the University Academic Regulations relating to trailing unit(s), condoning (marginal) failed unit(s) and degree classification algorithms (preponderance principles) would be undertaken which would inform a debate at the February 2016 Senate meeting.  The paper was written by Educational Development &amp; Quality (EDQ) following sector research which had looked at other Higher Education Institutions (HEI) regulations.  </w:t>
            </w:r>
          </w:p>
          <w:p w:rsidR="003F2FDA" w:rsidRPr="003F2FDA" w:rsidRDefault="003F2FDA" w:rsidP="003F2FDA">
            <w:pPr>
              <w:ind w:right="-22"/>
              <w:rPr>
                <w:rFonts w:ascii="Arial" w:hAnsi="Arial" w:cs="Arial"/>
                <w:sz w:val="20"/>
                <w:szCs w:val="20"/>
              </w:rPr>
            </w:pPr>
          </w:p>
        </w:tc>
      </w:tr>
      <w:tr w:rsidR="003F2FDA" w:rsidTr="00AD2767">
        <w:tc>
          <w:tcPr>
            <w:tcW w:w="939" w:type="dxa"/>
          </w:tcPr>
          <w:p w:rsidR="003F2FDA" w:rsidRPr="003F2FDA" w:rsidRDefault="003F2FDA">
            <w:pPr>
              <w:rPr>
                <w:rFonts w:ascii="Arial" w:hAnsi="Arial" w:cs="Arial"/>
                <w:sz w:val="22"/>
                <w:szCs w:val="20"/>
              </w:rPr>
            </w:pPr>
            <w:r>
              <w:rPr>
                <w:rFonts w:ascii="Arial" w:hAnsi="Arial" w:cs="Arial"/>
                <w:sz w:val="22"/>
                <w:szCs w:val="20"/>
              </w:rPr>
              <w:t>3.1.2</w:t>
            </w:r>
          </w:p>
        </w:tc>
        <w:tc>
          <w:tcPr>
            <w:tcW w:w="8842" w:type="dxa"/>
            <w:gridSpan w:val="4"/>
          </w:tcPr>
          <w:p w:rsidR="0079578B" w:rsidRDefault="003F2FDA" w:rsidP="009037E2">
            <w:pPr>
              <w:ind w:right="-22"/>
              <w:jc w:val="both"/>
              <w:rPr>
                <w:rFonts w:ascii="Arial" w:hAnsi="Arial" w:cs="Arial"/>
                <w:sz w:val="20"/>
                <w:szCs w:val="20"/>
              </w:rPr>
            </w:pPr>
            <w:r>
              <w:rPr>
                <w:rFonts w:ascii="Arial" w:hAnsi="Arial" w:cs="Arial"/>
                <w:sz w:val="20"/>
                <w:szCs w:val="20"/>
              </w:rPr>
              <w:t xml:space="preserve">The sector </w:t>
            </w:r>
            <w:r w:rsidR="0036550D">
              <w:rPr>
                <w:rFonts w:ascii="Arial" w:hAnsi="Arial" w:cs="Arial"/>
                <w:sz w:val="20"/>
                <w:szCs w:val="20"/>
              </w:rPr>
              <w:t>research demonstrated that a number of Universities do allow the trailing of failed units, however their Assessment Regulations did not transparently show how the process was managed</w:t>
            </w:r>
            <w:r w:rsidR="009037E2">
              <w:rPr>
                <w:rFonts w:ascii="Arial" w:hAnsi="Arial" w:cs="Arial"/>
                <w:sz w:val="20"/>
                <w:szCs w:val="20"/>
              </w:rPr>
              <w:t xml:space="preserve"> and the extent to which all/some units could be trailed</w:t>
            </w:r>
            <w:r w:rsidR="005E2DA2">
              <w:rPr>
                <w:rFonts w:ascii="Arial" w:hAnsi="Arial" w:cs="Arial"/>
                <w:sz w:val="20"/>
                <w:szCs w:val="20"/>
              </w:rPr>
              <w:t>;</w:t>
            </w:r>
            <w:r w:rsidR="007F5025">
              <w:rPr>
                <w:rFonts w:ascii="Arial" w:hAnsi="Arial" w:cs="Arial"/>
                <w:sz w:val="20"/>
                <w:szCs w:val="20"/>
              </w:rPr>
              <w:t xml:space="preserve"> the process appeared to be managed by an exceptional Board decision</w:t>
            </w:r>
            <w:r w:rsidR="005E2DA2">
              <w:rPr>
                <w:rFonts w:ascii="Arial" w:hAnsi="Arial" w:cs="Arial"/>
                <w:sz w:val="20"/>
                <w:szCs w:val="20"/>
              </w:rPr>
              <w:t xml:space="preserve"> in some other Universities</w:t>
            </w:r>
            <w:r w:rsidR="007F5025">
              <w:rPr>
                <w:rFonts w:ascii="Arial" w:hAnsi="Arial" w:cs="Arial"/>
                <w:sz w:val="20"/>
                <w:szCs w:val="20"/>
              </w:rPr>
              <w:t xml:space="preserve">. Where documented, the consensus appeared to be </w:t>
            </w:r>
            <w:r w:rsidR="00F8421C">
              <w:rPr>
                <w:rFonts w:ascii="Arial" w:hAnsi="Arial" w:cs="Arial"/>
                <w:sz w:val="20"/>
                <w:szCs w:val="20"/>
              </w:rPr>
              <w:t xml:space="preserve">that </w:t>
            </w:r>
            <w:r w:rsidR="007F5025">
              <w:rPr>
                <w:rFonts w:ascii="Arial" w:hAnsi="Arial" w:cs="Arial"/>
                <w:sz w:val="20"/>
                <w:szCs w:val="20"/>
              </w:rPr>
              <w:t>a small number of credits should be carried forward (no more than 20 or 30 credits), with 20 credits being the prefere</w:t>
            </w:r>
            <w:r w:rsidR="00F8421C">
              <w:rPr>
                <w:rFonts w:ascii="Arial" w:hAnsi="Arial" w:cs="Arial"/>
                <w:sz w:val="20"/>
                <w:szCs w:val="20"/>
              </w:rPr>
              <w:t>nce and no more than two units sh</w:t>
            </w:r>
            <w:r w:rsidR="007F5025">
              <w:rPr>
                <w:rFonts w:ascii="Arial" w:hAnsi="Arial" w:cs="Arial"/>
                <w:sz w:val="20"/>
                <w:szCs w:val="20"/>
              </w:rPr>
              <w:t xml:space="preserve">ould be carried forward.  It was noted that of the 15 anonymous responses </w:t>
            </w:r>
            <w:r w:rsidR="009037E2">
              <w:rPr>
                <w:rFonts w:ascii="Arial" w:hAnsi="Arial" w:cs="Arial"/>
                <w:sz w:val="20"/>
                <w:szCs w:val="20"/>
              </w:rPr>
              <w:t>included in the sector research</w:t>
            </w:r>
            <w:r w:rsidR="007F5025">
              <w:rPr>
                <w:rFonts w:ascii="Arial" w:hAnsi="Arial" w:cs="Arial"/>
                <w:sz w:val="20"/>
                <w:szCs w:val="20"/>
              </w:rPr>
              <w:t>, 4 Universities did not allow students to trail fails</w:t>
            </w:r>
            <w:r w:rsidR="00F8421C">
              <w:rPr>
                <w:rFonts w:ascii="Arial" w:hAnsi="Arial" w:cs="Arial"/>
                <w:sz w:val="20"/>
                <w:szCs w:val="20"/>
              </w:rPr>
              <w:t xml:space="preserve"> (</w:t>
            </w:r>
            <w:r w:rsidR="007F5025">
              <w:rPr>
                <w:rFonts w:ascii="Arial" w:hAnsi="Arial" w:cs="Arial"/>
                <w:sz w:val="20"/>
                <w:szCs w:val="20"/>
              </w:rPr>
              <w:t>including BU</w:t>
            </w:r>
            <w:r w:rsidR="00F8421C">
              <w:rPr>
                <w:rFonts w:ascii="Arial" w:hAnsi="Arial" w:cs="Arial"/>
                <w:sz w:val="20"/>
                <w:szCs w:val="20"/>
              </w:rPr>
              <w:t>)</w:t>
            </w:r>
            <w:r w:rsidR="007F5025">
              <w:rPr>
                <w:rFonts w:ascii="Arial" w:hAnsi="Arial" w:cs="Arial"/>
                <w:sz w:val="20"/>
                <w:szCs w:val="20"/>
              </w:rPr>
              <w:t>, and one other University did not allow fails to be trailed from the first year of study to the final year of study.  For those Universities which did allow the trailing of fails, 7 of the 1</w:t>
            </w:r>
            <w:r w:rsidR="009037E2">
              <w:rPr>
                <w:rFonts w:ascii="Arial" w:hAnsi="Arial" w:cs="Arial"/>
                <w:sz w:val="20"/>
                <w:szCs w:val="20"/>
              </w:rPr>
              <w:t>1</w:t>
            </w:r>
            <w:r w:rsidR="007F5025">
              <w:rPr>
                <w:rFonts w:ascii="Arial" w:hAnsi="Arial" w:cs="Arial"/>
                <w:sz w:val="20"/>
                <w:szCs w:val="20"/>
              </w:rPr>
              <w:t xml:space="preserve"> Universities confirmed they applied restrictions.  One University advised that although they allowed students to trail fails, they act</w:t>
            </w:r>
            <w:r w:rsidR="009037E2">
              <w:rPr>
                <w:rFonts w:ascii="Arial" w:hAnsi="Arial" w:cs="Arial"/>
                <w:sz w:val="20"/>
                <w:szCs w:val="20"/>
              </w:rPr>
              <w:t>ively</w:t>
            </w:r>
            <w:r w:rsidR="007F5025">
              <w:rPr>
                <w:rFonts w:ascii="Arial" w:hAnsi="Arial" w:cs="Arial"/>
                <w:sz w:val="20"/>
                <w:szCs w:val="20"/>
              </w:rPr>
              <w:t xml:space="preserve"> discouraged it. </w:t>
            </w:r>
          </w:p>
          <w:p w:rsidR="003F2FDA" w:rsidRDefault="007F5025" w:rsidP="009037E2">
            <w:pPr>
              <w:ind w:right="-22"/>
              <w:jc w:val="both"/>
              <w:rPr>
                <w:rFonts w:ascii="Arial" w:hAnsi="Arial" w:cs="Arial"/>
                <w:sz w:val="20"/>
                <w:szCs w:val="20"/>
              </w:rPr>
            </w:pPr>
            <w:r>
              <w:rPr>
                <w:rFonts w:ascii="Arial" w:hAnsi="Arial" w:cs="Arial"/>
                <w:sz w:val="20"/>
                <w:szCs w:val="20"/>
              </w:rPr>
              <w:t xml:space="preserve">   </w:t>
            </w:r>
          </w:p>
        </w:tc>
      </w:tr>
      <w:tr w:rsidR="007F5025" w:rsidTr="00AD2767">
        <w:tc>
          <w:tcPr>
            <w:tcW w:w="939" w:type="dxa"/>
          </w:tcPr>
          <w:p w:rsidR="007F5025" w:rsidRDefault="007F5025">
            <w:pPr>
              <w:rPr>
                <w:rFonts w:ascii="Arial" w:hAnsi="Arial" w:cs="Arial"/>
                <w:sz w:val="22"/>
                <w:szCs w:val="20"/>
              </w:rPr>
            </w:pPr>
            <w:r>
              <w:rPr>
                <w:rFonts w:ascii="Arial" w:hAnsi="Arial" w:cs="Arial"/>
                <w:sz w:val="22"/>
                <w:szCs w:val="20"/>
              </w:rPr>
              <w:t>3.1.3</w:t>
            </w:r>
          </w:p>
        </w:tc>
        <w:tc>
          <w:tcPr>
            <w:tcW w:w="8842" w:type="dxa"/>
            <w:gridSpan w:val="4"/>
          </w:tcPr>
          <w:p w:rsidR="007F5025" w:rsidRDefault="00F8421C" w:rsidP="001258A0">
            <w:pPr>
              <w:ind w:right="-22"/>
              <w:jc w:val="both"/>
              <w:rPr>
                <w:rFonts w:ascii="Arial" w:hAnsi="Arial" w:cs="Arial"/>
                <w:sz w:val="20"/>
                <w:szCs w:val="20"/>
              </w:rPr>
            </w:pPr>
            <w:r>
              <w:rPr>
                <w:rFonts w:ascii="Arial" w:hAnsi="Arial" w:cs="Arial"/>
                <w:sz w:val="20"/>
                <w:szCs w:val="20"/>
              </w:rPr>
              <w:t xml:space="preserve">It was noted that </w:t>
            </w:r>
            <w:r w:rsidR="001258A0">
              <w:rPr>
                <w:rFonts w:ascii="Arial" w:hAnsi="Arial" w:cs="Arial"/>
                <w:sz w:val="20"/>
                <w:szCs w:val="20"/>
              </w:rPr>
              <w:t xml:space="preserve">any changes to the Assessment Regulations would result in </w:t>
            </w:r>
            <w:r w:rsidR="0074576A">
              <w:rPr>
                <w:rFonts w:ascii="Arial" w:hAnsi="Arial" w:cs="Arial"/>
                <w:sz w:val="20"/>
                <w:szCs w:val="20"/>
              </w:rPr>
              <w:t xml:space="preserve">further </w:t>
            </w:r>
            <w:r w:rsidR="001258A0">
              <w:rPr>
                <w:rFonts w:ascii="Arial" w:hAnsi="Arial" w:cs="Arial"/>
                <w:sz w:val="20"/>
                <w:szCs w:val="20"/>
              </w:rPr>
              <w:t xml:space="preserve">detailed </w:t>
            </w:r>
            <w:r w:rsidR="0074576A">
              <w:rPr>
                <w:rFonts w:ascii="Arial" w:hAnsi="Arial" w:cs="Arial"/>
                <w:sz w:val="20"/>
                <w:szCs w:val="20"/>
              </w:rPr>
              <w:t xml:space="preserve">work </w:t>
            </w:r>
            <w:r w:rsidR="001258A0">
              <w:rPr>
                <w:rFonts w:ascii="Arial" w:hAnsi="Arial" w:cs="Arial"/>
                <w:sz w:val="20"/>
                <w:szCs w:val="20"/>
              </w:rPr>
              <w:t xml:space="preserve">as it is likely that there would need to be changes </w:t>
            </w:r>
            <w:r w:rsidR="0074576A">
              <w:rPr>
                <w:rFonts w:ascii="Arial" w:hAnsi="Arial" w:cs="Arial"/>
                <w:sz w:val="20"/>
                <w:szCs w:val="20"/>
              </w:rPr>
              <w:t>to Programme Specifications</w:t>
            </w:r>
            <w:r w:rsidR="001258A0">
              <w:rPr>
                <w:rFonts w:ascii="Arial" w:hAnsi="Arial" w:cs="Arial"/>
                <w:sz w:val="20"/>
                <w:szCs w:val="20"/>
              </w:rPr>
              <w:t>, Assessment Board policies and processes</w:t>
            </w:r>
            <w:r w:rsidR="00D500F0">
              <w:rPr>
                <w:rFonts w:ascii="Arial" w:hAnsi="Arial" w:cs="Arial"/>
                <w:sz w:val="20"/>
                <w:szCs w:val="20"/>
              </w:rPr>
              <w:t xml:space="preserve"> </w:t>
            </w:r>
            <w:r w:rsidR="001258A0">
              <w:rPr>
                <w:rFonts w:ascii="Arial" w:hAnsi="Arial" w:cs="Arial"/>
                <w:sz w:val="20"/>
                <w:szCs w:val="20"/>
              </w:rPr>
              <w:t xml:space="preserve">as well as the Regulations themselves. </w:t>
            </w:r>
          </w:p>
        </w:tc>
      </w:tr>
      <w:tr w:rsidR="0074576A" w:rsidTr="00AD2767">
        <w:tc>
          <w:tcPr>
            <w:tcW w:w="939" w:type="dxa"/>
          </w:tcPr>
          <w:p w:rsidR="0074576A" w:rsidRDefault="0074576A">
            <w:pPr>
              <w:rPr>
                <w:rFonts w:ascii="Arial" w:hAnsi="Arial" w:cs="Arial"/>
                <w:sz w:val="22"/>
                <w:szCs w:val="20"/>
              </w:rPr>
            </w:pPr>
          </w:p>
        </w:tc>
        <w:tc>
          <w:tcPr>
            <w:tcW w:w="8842" w:type="dxa"/>
            <w:gridSpan w:val="4"/>
          </w:tcPr>
          <w:p w:rsidR="0074576A" w:rsidRDefault="0074576A" w:rsidP="0036550D">
            <w:pPr>
              <w:ind w:right="-22"/>
              <w:rPr>
                <w:rFonts w:ascii="Arial" w:hAnsi="Arial" w:cs="Arial"/>
                <w:sz w:val="20"/>
                <w:szCs w:val="20"/>
              </w:rPr>
            </w:pPr>
          </w:p>
        </w:tc>
      </w:tr>
      <w:tr w:rsidR="0074576A" w:rsidTr="00AD2767">
        <w:tc>
          <w:tcPr>
            <w:tcW w:w="939" w:type="dxa"/>
          </w:tcPr>
          <w:p w:rsidR="0074576A" w:rsidRDefault="0074576A">
            <w:pPr>
              <w:rPr>
                <w:rFonts w:ascii="Arial" w:hAnsi="Arial" w:cs="Arial"/>
                <w:sz w:val="22"/>
                <w:szCs w:val="20"/>
              </w:rPr>
            </w:pPr>
            <w:r>
              <w:rPr>
                <w:rFonts w:ascii="Arial" w:hAnsi="Arial" w:cs="Arial"/>
                <w:sz w:val="22"/>
                <w:szCs w:val="20"/>
              </w:rPr>
              <w:t>3.1.4</w:t>
            </w:r>
          </w:p>
        </w:tc>
        <w:tc>
          <w:tcPr>
            <w:tcW w:w="8842" w:type="dxa"/>
            <w:gridSpan w:val="4"/>
          </w:tcPr>
          <w:p w:rsidR="0074576A" w:rsidRDefault="00D500F0" w:rsidP="00F8421C">
            <w:pPr>
              <w:ind w:right="-22"/>
              <w:jc w:val="both"/>
              <w:rPr>
                <w:rFonts w:ascii="Arial" w:hAnsi="Arial" w:cs="Arial"/>
                <w:sz w:val="20"/>
                <w:szCs w:val="20"/>
              </w:rPr>
            </w:pPr>
            <w:r>
              <w:rPr>
                <w:rFonts w:ascii="Arial" w:hAnsi="Arial" w:cs="Arial"/>
                <w:sz w:val="20"/>
                <w:szCs w:val="20"/>
              </w:rPr>
              <w:t>Prof Phalp was aware that other Universities use compensation and ha</w:t>
            </w:r>
            <w:r w:rsidR="00DD7452">
              <w:rPr>
                <w:rFonts w:ascii="Arial" w:hAnsi="Arial" w:cs="Arial"/>
                <w:sz w:val="20"/>
                <w:szCs w:val="20"/>
              </w:rPr>
              <w:t>d</w:t>
            </w:r>
            <w:r>
              <w:rPr>
                <w:rFonts w:ascii="Arial" w:hAnsi="Arial" w:cs="Arial"/>
                <w:sz w:val="20"/>
                <w:szCs w:val="20"/>
              </w:rPr>
              <w:t xml:space="preserve"> lower thresholds</w:t>
            </w:r>
            <w:r w:rsidR="00DD7452">
              <w:rPr>
                <w:rFonts w:ascii="Arial" w:hAnsi="Arial" w:cs="Arial"/>
                <w:sz w:val="20"/>
                <w:szCs w:val="20"/>
              </w:rPr>
              <w:t xml:space="preserve"> </w:t>
            </w:r>
            <w:r>
              <w:rPr>
                <w:rFonts w:ascii="Arial" w:hAnsi="Arial" w:cs="Arial"/>
                <w:sz w:val="20"/>
                <w:szCs w:val="20"/>
              </w:rPr>
              <w:t>(such as 25) than Bournemouth University.  Ms Symonds advised that the Assessment Regulations for other Universities all used very different language</w:t>
            </w:r>
            <w:r w:rsidR="00C30CA1">
              <w:rPr>
                <w:rFonts w:ascii="Arial" w:hAnsi="Arial" w:cs="Arial"/>
                <w:sz w:val="20"/>
                <w:szCs w:val="20"/>
              </w:rPr>
              <w:t>,</w:t>
            </w:r>
            <w:r>
              <w:rPr>
                <w:rFonts w:ascii="Arial" w:hAnsi="Arial" w:cs="Arial"/>
                <w:sz w:val="20"/>
                <w:szCs w:val="20"/>
              </w:rPr>
              <w:t xml:space="preserve"> especially around compensation and condoning and also refer</w:t>
            </w:r>
            <w:r w:rsidR="00DD7452">
              <w:rPr>
                <w:rFonts w:ascii="Arial" w:hAnsi="Arial" w:cs="Arial"/>
                <w:sz w:val="20"/>
                <w:szCs w:val="20"/>
              </w:rPr>
              <w:t>red</w:t>
            </w:r>
            <w:r>
              <w:rPr>
                <w:rFonts w:ascii="Arial" w:hAnsi="Arial" w:cs="Arial"/>
                <w:sz w:val="20"/>
                <w:szCs w:val="20"/>
              </w:rPr>
              <w:t xml:space="preserve"> to core units and non-core units</w:t>
            </w:r>
            <w:r w:rsidR="001258A0">
              <w:rPr>
                <w:rFonts w:ascii="Arial" w:hAnsi="Arial" w:cs="Arial"/>
                <w:sz w:val="20"/>
                <w:szCs w:val="20"/>
              </w:rPr>
              <w:t xml:space="preserve"> with variations on whether or not compensation could apply</w:t>
            </w:r>
            <w:r>
              <w:rPr>
                <w:rFonts w:ascii="Arial" w:hAnsi="Arial" w:cs="Arial"/>
                <w:sz w:val="20"/>
                <w:szCs w:val="20"/>
              </w:rPr>
              <w:t xml:space="preserve">. Consideration would need to be given to ensure students had the relevant underpinning for their next level of study.   </w:t>
            </w:r>
          </w:p>
          <w:p w:rsidR="00D500F0" w:rsidRPr="0074576A" w:rsidRDefault="00D500F0" w:rsidP="00D500F0">
            <w:pPr>
              <w:ind w:right="-22"/>
              <w:jc w:val="both"/>
              <w:rPr>
                <w:rFonts w:ascii="Arial" w:hAnsi="Arial" w:cs="Arial"/>
                <w:sz w:val="20"/>
                <w:szCs w:val="20"/>
              </w:rPr>
            </w:pPr>
          </w:p>
        </w:tc>
      </w:tr>
      <w:tr w:rsidR="00D500F0" w:rsidTr="00AD2767">
        <w:tc>
          <w:tcPr>
            <w:tcW w:w="939" w:type="dxa"/>
          </w:tcPr>
          <w:p w:rsidR="00D500F0" w:rsidRDefault="00D500F0">
            <w:pPr>
              <w:rPr>
                <w:rFonts w:ascii="Arial" w:hAnsi="Arial" w:cs="Arial"/>
                <w:sz w:val="22"/>
                <w:szCs w:val="20"/>
              </w:rPr>
            </w:pPr>
            <w:r>
              <w:rPr>
                <w:rFonts w:ascii="Arial" w:hAnsi="Arial" w:cs="Arial"/>
                <w:sz w:val="22"/>
                <w:szCs w:val="20"/>
              </w:rPr>
              <w:t>3.1.5</w:t>
            </w:r>
          </w:p>
        </w:tc>
        <w:tc>
          <w:tcPr>
            <w:tcW w:w="8842" w:type="dxa"/>
            <w:gridSpan w:val="4"/>
          </w:tcPr>
          <w:p w:rsidR="004D71C2" w:rsidRDefault="004D71C2" w:rsidP="00C30CA1">
            <w:pPr>
              <w:ind w:right="-22"/>
              <w:jc w:val="both"/>
              <w:rPr>
                <w:rFonts w:ascii="Arial" w:hAnsi="Arial" w:cs="Arial"/>
                <w:sz w:val="20"/>
                <w:szCs w:val="20"/>
              </w:rPr>
            </w:pPr>
            <w:r>
              <w:rPr>
                <w:rFonts w:ascii="Arial" w:hAnsi="Arial" w:cs="Arial"/>
                <w:sz w:val="20"/>
                <w:szCs w:val="20"/>
              </w:rPr>
              <w:t xml:space="preserve">Dr Dyer suggested the possibility of introducing a ‘fast-track’ </w:t>
            </w:r>
            <w:r w:rsidR="001258A0">
              <w:rPr>
                <w:rFonts w:ascii="Arial" w:hAnsi="Arial" w:cs="Arial"/>
                <w:sz w:val="20"/>
                <w:szCs w:val="20"/>
              </w:rPr>
              <w:t xml:space="preserve">repeat option </w:t>
            </w:r>
            <w:r>
              <w:rPr>
                <w:rFonts w:ascii="Arial" w:hAnsi="Arial" w:cs="Arial"/>
                <w:sz w:val="20"/>
                <w:szCs w:val="20"/>
              </w:rPr>
              <w:t xml:space="preserve">whereby students </w:t>
            </w:r>
            <w:r w:rsidR="005E2DA2">
              <w:rPr>
                <w:rFonts w:ascii="Arial" w:hAnsi="Arial" w:cs="Arial"/>
                <w:sz w:val="20"/>
                <w:szCs w:val="20"/>
              </w:rPr>
              <w:t xml:space="preserve">who had a marginal fail </w:t>
            </w:r>
            <w:r>
              <w:rPr>
                <w:rFonts w:ascii="Arial" w:hAnsi="Arial" w:cs="Arial"/>
                <w:sz w:val="20"/>
                <w:szCs w:val="20"/>
              </w:rPr>
              <w:t xml:space="preserve">could enrol on their next level of study ‘at risk’ </w:t>
            </w:r>
            <w:r w:rsidR="00DD7452">
              <w:rPr>
                <w:rFonts w:ascii="Arial" w:hAnsi="Arial" w:cs="Arial"/>
                <w:sz w:val="20"/>
                <w:szCs w:val="20"/>
              </w:rPr>
              <w:t xml:space="preserve">and </w:t>
            </w:r>
            <w:r w:rsidR="001258A0">
              <w:rPr>
                <w:rFonts w:ascii="Arial" w:hAnsi="Arial" w:cs="Arial"/>
                <w:sz w:val="20"/>
                <w:szCs w:val="20"/>
              </w:rPr>
              <w:t>in order to repeat a unit over a short period of time.</w:t>
            </w:r>
            <w:r w:rsidR="007F53BE">
              <w:rPr>
                <w:rFonts w:ascii="Arial" w:hAnsi="Arial" w:cs="Arial"/>
                <w:sz w:val="20"/>
                <w:szCs w:val="20"/>
              </w:rPr>
              <w:t xml:space="preserve"> </w:t>
            </w:r>
            <w:r>
              <w:rPr>
                <w:rFonts w:ascii="Arial" w:hAnsi="Arial" w:cs="Arial"/>
                <w:sz w:val="20"/>
                <w:szCs w:val="20"/>
              </w:rPr>
              <w:t>Members agreed that the University would be required</w:t>
            </w:r>
            <w:r w:rsidR="00C30CA1">
              <w:rPr>
                <w:rFonts w:ascii="Arial" w:hAnsi="Arial" w:cs="Arial"/>
                <w:sz w:val="20"/>
                <w:szCs w:val="20"/>
              </w:rPr>
              <w:t xml:space="preserve"> to clarify the term</w:t>
            </w:r>
            <w:r>
              <w:rPr>
                <w:rFonts w:ascii="Arial" w:hAnsi="Arial" w:cs="Arial"/>
                <w:sz w:val="20"/>
                <w:szCs w:val="20"/>
              </w:rPr>
              <w:t xml:space="preserve"> ‘repeat’</w:t>
            </w:r>
            <w:r w:rsidR="001258A0">
              <w:rPr>
                <w:rFonts w:ascii="Arial" w:hAnsi="Arial" w:cs="Arial"/>
                <w:sz w:val="20"/>
                <w:szCs w:val="20"/>
              </w:rPr>
              <w:t xml:space="preserve"> if it were being used to mean a different pattern of engagement for groups to students. It would </w:t>
            </w:r>
            <w:r>
              <w:rPr>
                <w:rFonts w:ascii="Arial" w:hAnsi="Arial" w:cs="Arial"/>
                <w:sz w:val="20"/>
                <w:szCs w:val="20"/>
              </w:rPr>
              <w:t xml:space="preserve">also </w:t>
            </w:r>
            <w:r w:rsidR="001258A0">
              <w:rPr>
                <w:rFonts w:ascii="Arial" w:hAnsi="Arial" w:cs="Arial"/>
                <w:sz w:val="20"/>
                <w:szCs w:val="20"/>
              </w:rPr>
              <w:t xml:space="preserve">be necessary to </w:t>
            </w:r>
            <w:r>
              <w:rPr>
                <w:rFonts w:ascii="Arial" w:hAnsi="Arial" w:cs="Arial"/>
                <w:sz w:val="20"/>
                <w:szCs w:val="20"/>
              </w:rPr>
              <w:t>clarify where the ‘repeat’ would sit within the academic year</w:t>
            </w:r>
            <w:r w:rsidR="00C30CA1">
              <w:rPr>
                <w:rFonts w:ascii="Arial" w:hAnsi="Arial" w:cs="Arial"/>
                <w:sz w:val="20"/>
                <w:szCs w:val="20"/>
              </w:rPr>
              <w:t>,</w:t>
            </w:r>
            <w:r>
              <w:rPr>
                <w:rFonts w:ascii="Arial" w:hAnsi="Arial" w:cs="Arial"/>
                <w:sz w:val="20"/>
                <w:szCs w:val="20"/>
              </w:rPr>
              <w:t xml:space="preserve"> as this </w:t>
            </w:r>
            <w:r w:rsidR="001258A0">
              <w:rPr>
                <w:rFonts w:ascii="Arial" w:hAnsi="Arial" w:cs="Arial"/>
                <w:sz w:val="20"/>
                <w:szCs w:val="20"/>
              </w:rPr>
              <w:t>c</w:t>
            </w:r>
            <w:r>
              <w:rPr>
                <w:rFonts w:ascii="Arial" w:hAnsi="Arial" w:cs="Arial"/>
                <w:sz w:val="20"/>
                <w:szCs w:val="20"/>
              </w:rPr>
              <w:t xml:space="preserve">ould have a huge impact on staff workload. Ms Symonds reminded members that students with </w:t>
            </w:r>
            <w:r w:rsidR="001258A0">
              <w:rPr>
                <w:rFonts w:ascii="Arial" w:hAnsi="Arial" w:cs="Arial"/>
                <w:sz w:val="20"/>
                <w:szCs w:val="20"/>
              </w:rPr>
              <w:t>m</w:t>
            </w:r>
            <w:r>
              <w:rPr>
                <w:rFonts w:ascii="Arial" w:hAnsi="Arial" w:cs="Arial"/>
                <w:sz w:val="20"/>
                <w:szCs w:val="20"/>
              </w:rPr>
              <w:t xml:space="preserve">itigating </w:t>
            </w:r>
            <w:r w:rsidR="001258A0">
              <w:rPr>
                <w:rFonts w:ascii="Arial" w:hAnsi="Arial" w:cs="Arial"/>
                <w:sz w:val="20"/>
                <w:szCs w:val="20"/>
              </w:rPr>
              <w:t>c</w:t>
            </w:r>
            <w:r>
              <w:rPr>
                <w:rFonts w:ascii="Arial" w:hAnsi="Arial" w:cs="Arial"/>
                <w:sz w:val="20"/>
                <w:szCs w:val="20"/>
              </w:rPr>
              <w:t xml:space="preserve">ircumstances already have access to the practice </w:t>
            </w:r>
            <w:r w:rsidR="001258A0">
              <w:rPr>
                <w:rFonts w:ascii="Arial" w:hAnsi="Arial" w:cs="Arial"/>
                <w:sz w:val="20"/>
                <w:szCs w:val="20"/>
              </w:rPr>
              <w:t>when the ‘first sit’ takes place during the resit period and the ‘resit’ in the early part of the next academic year.</w:t>
            </w:r>
            <w:r>
              <w:rPr>
                <w:rFonts w:ascii="Arial" w:hAnsi="Arial" w:cs="Arial"/>
                <w:sz w:val="20"/>
                <w:szCs w:val="20"/>
              </w:rPr>
              <w:t xml:space="preserve"> Students</w:t>
            </w:r>
            <w:r w:rsidR="001258A0">
              <w:rPr>
                <w:rFonts w:ascii="Arial" w:hAnsi="Arial" w:cs="Arial"/>
                <w:sz w:val="20"/>
                <w:szCs w:val="20"/>
              </w:rPr>
              <w:t xml:space="preserve"> in this situation</w:t>
            </w:r>
            <w:r>
              <w:rPr>
                <w:rFonts w:ascii="Arial" w:hAnsi="Arial" w:cs="Arial"/>
                <w:sz w:val="20"/>
                <w:szCs w:val="20"/>
              </w:rPr>
              <w:t xml:space="preserve"> would then commence the next level of study ‘at risk’. Mr Rogers advised that sector research had not identified when students do their assessments. </w:t>
            </w:r>
            <w:r w:rsidR="00C00216">
              <w:rPr>
                <w:rFonts w:ascii="Arial" w:hAnsi="Arial" w:cs="Arial"/>
                <w:sz w:val="20"/>
                <w:szCs w:val="20"/>
              </w:rPr>
              <w:t xml:space="preserve">Some difficulties with this approach were noted for </w:t>
            </w:r>
            <w:r w:rsidR="00E448EF">
              <w:rPr>
                <w:rFonts w:ascii="Arial" w:hAnsi="Arial" w:cs="Arial"/>
                <w:sz w:val="20"/>
                <w:szCs w:val="20"/>
              </w:rPr>
              <w:t xml:space="preserve">FHSS </w:t>
            </w:r>
            <w:r w:rsidR="00C00216">
              <w:rPr>
                <w:rFonts w:ascii="Arial" w:hAnsi="Arial" w:cs="Arial"/>
                <w:sz w:val="20"/>
                <w:szCs w:val="20"/>
              </w:rPr>
              <w:t xml:space="preserve">programmes where professional bodies preclude the use of </w:t>
            </w:r>
            <w:r>
              <w:rPr>
                <w:rFonts w:ascii="Arial" w:hAnsi="Arial" w:cs="Arial"/>
                <w:sz w:val="20"/>
                <w:szCs w:val="20"/>
              </w:rPr>
              <w:t>the compensati</w:t>
            </w:r>
            <w:r w:rsidR="00E448EF">
              <w:rPr>
                <w:rFonts w:ascii="Arial" w:hAnsi="Arial" w:cs="Arial"/>
                <w:sz w:val="20"/>
                <w:szCs w:val="20"/>
              </w:rPr>
              <w:t xml:space="preserve">on regulation. </w:t>
            </w:r>
            <w:r w:rsidR="005E2DA2">
              <w:rPr>
                <w:rFonts w:ascii="Arial" w:hAnsi="Arial" w:cs="Arial"/>
                <w:sz w:val="20"/>
                <w:szCs w:val="20"/>
              </w:rPr>
              <w:t>In addition w</w:t>
            </w:r>
            <w:r w:rsidR="00C30CA1">
              <w:rPr>
                <w:rFonts w:ascii="Arial" w:hAnsi="Arial" w:cs="Arial"/>
                <w:sz w:val="20"/>
                <w:szCs w:val="20"/>
              </w:rPr>
              <w:t>ithin FHSS, t</w:t>
            </w:r>
            <w:r w:rsidR="00E448EF">
              <w:rPr>
                <w:rFonts w:ascii="Arial" w:hAnsi="Arial" w:cs="Arial"/>
                <w:sz w:val="20"/>
                <w:szCs w:val="20"/>
              </w:rPr>
              <w:t xml:space="preserve">here would also be an issue with students who were doing practice </w:t>
            </w:r>
            <w:r w:rsidR="00DD7452">
              <w:rPr>
                <w:rFonts w:ascii="Arial" w:hAnsi="Arial" w:cs="Arial"/>
                <w:sz w:val="20"/>
                <w:szCs w:val="20"/>
              </w:rPr>
              <w:t xml:space="preserve">who </w:t>
            </w:r>
            <w:r w:rsidR="00E448EF">
              <w:rPr>
                <w:rFonts w:ascii="Arial" w:hAnsi="Arial" w:cs="Arial"/>
                <w:sz w:val="20"/>
                <w:szCs w:val="20"/>
              </w:rPr>
              <w:t>would struggle with fitting in their academic studies at the same time</w:t>
            </w:r>
            <w:r w:rsidR="00DD7452">
              <w:rPr>
                <w:rFonts w:ascii="Arial" w:hAnsi="Arial" w:cs="Arial"/>
                <w:sz w:val="20"/>
                <w:szCs w:val="20"/>
              </w:rPr>
              <w:t xml:space="preserve"> as doing practice</w:t>
            </w:r>
            <w:r w:rsidR="00E448EF">
              <w:rPr>
                <w:rFonts w:ascii="Arial" w:hAnsi="Arial" w:cs="Arial"/>
                <w:sz w:val="20"/>
                <w:szCs w:val="20"/>
              </w:rPr>
              <w:t>.</w:t>
            </w:r>
          </w:p>
          <w:p w:rsidR="006C4AF7" w:rsidRDefault="006C4AF7" w:rsidP="006C4AF7">
            <w:pPr>
              <w:ind w:right="-22"/>
              <w:rPr>
                <w:rFonts w:ascii="Arial" w:hAnsi="Arial" w:cs="Arial"/>
                <w:sz w:val="20"/>
                <w:szCs w:val="20"/>
              </w:rPr>
            </w:pPr>
          </w:p>
        </w:tc>
      </w:tr>
      <w:tr w:rsidR="004D71C2" w:rsidTr="00AD2767">
        <w:tc>
          <w:tcPr>
            <w:tcW w:w="939" w:type="dxa"/>
          </w:tcPr>
          <w:p w:rsidR="004D71C2" w:rsidRDefault="004D71C2">
            <w:pPr>
              <w:rPr>
                <w:rFonts w:ascii="Arial" w:hAnsi="Arial" w:cs="Arial"/>
                <w:sz w:val="22"/>
                <w:szCs w:val="20"/>
              </w:rPr>
            </w:pPr>
            <w:r>
              <w:rPr>
                <w:rFonts w:ascii="Arial" w:hAnsi="Arial" w:cs="Arial"/>
                <w:sz w:val="22"/>
                <w:szCs w:val="20"/>
              </w:rPr>
              <w:t>3.1.6</w:t>
            </w:r>
          </w:p>
        </w:tc>
        <w:tc>
          <w:tcPr>
            <w:tcW w:w="8842" w:type="dxa"/>
            <w:gridSpan w:val="4"/>
          </w:tcPr>
          <w:p w:rsidR="00C30CA1" w:rsidRDefault="00E448EF" w:rsidP="00004F21">
            <w:pPr>
              <w:ind w:right="-22"/>
              <w:jc w:val="both"/>
              <w:rPr>
                <w:rFonts w:ascii="Arial" w:hAnsi="Arial" w:cs="Arial"/>
                <w:sz w:val="20"/>
                <w:szCs w:val="20"/>
              </w:rPr>
            </w:pPr>
            <w:r>
              <w:rPr>
                <w:rFonts w:ascii="Arial" w:hAnsi="Arial" w:cs="Arial"/>
                <w:sz w:val="20"/>
                <w:szCs w:val="20"/>
              </w:rPr>
              <w:t xml:space="preserve">Dr Bobeva referred to Appendix 2 </w:t>
            </w:r>
            <w:r w:rsidR="00C00216">
              <w:rPr>
                <w:rFonts w:ascii="Arial" w:hAnsi="Arial" w:cs="Arial"/>
                <w:sz w:val="20"/>
                <w:szCs w:val="20"/>
              </w:rPr>
              <w:t>which included details of the numbers of stud</w:t>
            </w:r>
            <w:r w:rsidR="00004F21">
              <w:rPr>
                <w:rFonts w:ascii="Arial" w:hAnsi="Arial" w:cs="Arial"/>
                <w:sz w:val="20"/>
                <w:szCs w:val="20"/>
              </w:rPr>
              <w:t>e</w:t>
            </w:r>
            <w:r w:rsidR="00C00216">
              <w:rPr>
                <w:rFonts w:ascii="Arial" w:hAnsi="Arial" w:cs="Arial"/>
                <w:sz w:val="20"/>
                <w:szCs w:val="20"/>
              </w:rPr>
              <w:t xml:space="preserve">nts who left BU with 100 credits in 2015 by Faculty </w:t>
            </w:r>
            <w:r>
              <w:rPr>
                <w:rFonts w:ascii="Arial" w:hAnsi="Arial" w:cs="Arial"/>
                <w:sz w:val="20"/>
                <w:szCs w:val="20"/>
              </w:rPr>
              <w:t>and advised that some programmes do perform better than others</w:t>
            </w:r>
            <w:r w:rsidR="00C00216">
              <w:rPr>
                <w:rFonts w:ascii="Arial" w:hAnsi="Arial" w:cs="Arial"/>
                <w:sz w:val="20"/>
                <w:szCs w:val="20"/>
              </w:rPr>
              <w:t>. An investigation of these programmes migh</w:t>
            </w:r>
            <w:r w:rsidR="00004F21">
              <w:rPr>
                <w:rFonts w:ascii="Arial" w:hAnsi="Arial" w:cs="Arial"/>
                <w:sz w:val="20"/>
                <w:szCs w:val="20"/>
              </w:rPr>
              <w:t>t</w:t>
            </w:r>
            <w:r w:rsidR="00C00216">
              <w:rPr>
                <w:rFonts w:ascii="Arial" w:hAnsi="Arial" w:cs="Arial"/>
                <w:sz w:val="20"/>
                <w:szCs w:val="20"/>
              </w:rPr>
              <w:t xml:space="preserve"> be useful in order to identify if there was a</w:t>
            </w:r>
            <w:r w:rsidR="00004F21">
              <w:rPr>
                <w:rFonts w:ascii="Arial" w:hAnsi="Arial" w:cs="Arial"/>
                <w:sz w:val="20"/>
                <w:szCs w:val="20"/>
              </w:rPr>
              <w:t xml:space="preserve"> </w:t>
            </w:r>
            <w:r w:rsidR="00C00216">
              <w:rPr>
                <w:rFonts w:ascii="Arial" w:hAnsi="Arial" w:cs="Arial"/>
                <w:sz w:val="20"/>
                <w:szCs w:val="20"/>
              </w:rPr>
              <w:t>specif</w:t>
            </w:r>
            <w:r w:rsidR="00004F21">
              <w:rPr>
                <w:rFonts w:ascii="Arial" w:hAnsi="Arial" w:cs="Arial"/>
                <w:sz w:val="20"/>
                <w:szCs w:val="20"/>
              </w:rPr>
              <w:t>ic</w:t>
            </w:r>
            <w:r w:rsidR="00C00216">
              <w:rPr>
                <w:rFonts w:ascii="Arial" w:hAnsi="Arial" w:cs="Arial"/>
                <w:sz w:val="20"/>
                <w:szCs w:val="20"/>
              </w:rPr>
              <w:t xml:space="preserve"> reason why they had no</w:t>
            </w:r>
            <w:r w:rsidR="00004F21">
              <w:rPr>
                <w:rFonts w:ascii="Arial" w:hAnsi="Arial" w:cs="Arial"/>
                <w:sz w:val="20"/>
                <w:szCs w:val="20"/>
              </w:rPr>
              <w:t>t</w:t>
            </w:r>
            <w:r w:rsidR="00C00216">
              <w:rPr>
                <w:rFonts w:ascii="Arial" w:hAnsi="Arial" w:cs="Arial"/>
                <w:sz w:val="20"/>
                <w:szCs w:val="20"/>
              </w:rPr>
              <w:t xml:space="preserve"> re</w:t>
            </w:r>
            <w:r w:rsidR="00004F21">
              <w:rPr>
                <w:rFonts w:ascii="Arial" w:hAnsi="Arial" w:cs="Arial"/>
                <w:sz w:val="20"/>
                <w:szCs w:val="20"/>
              </w:rPr>
              <w:t>-</w:t>
            </w:r>
            <w:r w:rsidR="0079578B">
              <w:rPr>
                <w:rFonts w:ascii="Arial" w:hAnsi="Arial" w:cs="Arial"/>
                <w:sz w:val="20"/>
                <w:szCs w:val="20"/>
              </w:rPr>
              <w:t>enroll</w:t>
            </w:r>
            <w:r w:rsidR="00C00216">
              <w:rPr>
                <w:rFonts w:ascii="Arial" w:hAnsi="Arial" w:cs="Arial"/>
                <w:sz w:val="20"/>
                <w:szCs w:val="20"/>
              </w:rPr>
              <w:t>ed. Consideration would need to be given to the effect on student mobility</w:t>
            </w:r>
            <w:r>
              <w:rPr>
                <w:rFonts w:ascii="Arial" w:hAnsi="Arial" w:cs="Arial"/>
                <w:sz w:val="20"/>
                <w:szCs w:val="20"/>
              </w:rPr>
              <w:t xml:space="preserve">.  Dr Bobeva </w:t>
            </w:r>
            <w:r w:rsidR="00C00216">
              <w:rPr>
                <w:rFonts w:ascii="Arial" w:hAnsi="Arial" w:cs="Arial"/>
                <w:sz w:val="20"/>
                <w:szCs w:val="20"/>
              </w:rPr>
              <w:t xml:space="preserve">also noted </w:t>
            </w:r>
            <w:r>
              <w:rPr>
                <w:rFonts w:ascii="Arial" w:hAnsi="Arial" w:cs="Arial"/>
                <w:sz w:val="20"/>
                <w:szCs w:val="20"/>
              </w:rPr>
              <w:t xml:space="preserve">that the information within Appendix 2 did not clarify whether any resits were from semester 1 or 2 and a further insight was required in the breakdown of the data in order that a resit session could </w:t>
            </w:r>
            <w:r w:rsidR="005E2DA2">
              <w:rPr>
                <w:rFonts w:ascii="Arial" w:hAnsi="Arial" w:cs="Arial"/>
                <w:sz w:val="20"/>
                <w:szCs w:val="20"/>
              </w:rPr>
              <w:t xml:space="preserve">perhaps </w:t>
            </w:r>
            <w:r>
              <w:rPr>
                <w:rFonts w:ascii="Arial" w:hAnsi="Arial" w:cs="Arial"/>
                <w:sz w:val="20"/>
                <w:szCs w:val="20"/>
              </w:rPr>
              <w:t xml:space="preserve">be planned for </w:t>
            </w:r>
            <w:r w:rsidR="008C040D">
              <w:rPr>
                <w:rFonts w:ascii="Arial" w:hAnsi="Arial" w:cs="Arial"/>
                <w:sz w:val="20"/>
                <w:szCs w:val="20"/>
              </w:rPr>
              <w:t xml:space="preserve">the </w:t>
            </w:r>
            <w:r>
              <w:rPr>
                <w:rFonts w:ascii="Arial" w:hAnsi="Arial" w:cs="Arial"/>
                <w:sz w:val="20"/>
                <w:szCs w:val="20"/>
              </w:rPr>
              <w:t xml:space="preserve">Easter </w:t>
            </w:r>
            <w:r w:rsidR="008C040D">
              <w:rPr>
                <w:rFonts w:ascii="Arial" w:hAnsi="Arial" w:cs="Arial"/>
                <w:sz w:val="20"/>
                <w:szCs w:val="20"/>
              </w:rPr>
              <w:t xml:space="preserve">period </w:t>
            </w:r>
            <w:r>
              <w:rPr>
                <w:rFonts w:ascii="Arial" w:hAnsi="Arial" w:cs="Arial"/>
                <w:sz w:val="20"/>
                <w:szCs w:val="20"/>
              </w:rPr>
              <w:t>whilst information was still fresh in students’ minds.</w:t>
            </w:r>
            <w:r w:rsidR="007A212A" w:rsidDel="007A212A">
              <w:rPr>
                <w:rFonts w:ascii="Arial" w:hAnsi="Arial" w:cs="Arial"/>
                <w:sz w:val="20"/>
                <w:szCs w:val="20"/>
              </w:rPr>
              <w:t xml:space="preserve"> </w:t>
            </w:r>
          </w:p>
          <w:p w:rsidR="00D65FB9" w:rsidRDefault="00D65FB9" w:rsidP="00004F21">
            <w:pPr>
              <w:ind w:right="-22"/>
              <w:jc w:val="both"/>
              <w:rPr>
                <w:rFonts w:ascii="Arial" w:hAnsi="Arial" w:cs="Arial"/>
                <w:sz w:val="20"/>
                <w:szCs w:val="20"/>
              </w:rPr>
            </w:pPr>
          </w:p>
          <w:p w:rsidR="00D65FB9" w:rsidRDefault="00D65FB9" w:rsidP="00004F21">
            <w:pPr>
              <w:ind w:right="-22"/>
              <w:jc w:val="both"/>
              <w:rPr>
                <w:rFonts w:ascii="Arial" w:hAnsi="Arial" w:cs="Arial"/>
                <w:sz w:val="20"/>
                <w:szCs w:val="20"/>
              </w:rPr>
            </w:pPr>
          </w:p>
          <w:p w:rsidR="0079578B" w:rsidRDefault="0079578B" w:rsidP="00004F21">
            <w:pPr>
              <w:ind w:right="-22"/>
              <w:jc w:val="both"/>
              <w:rPr>
                <w:rFonts w:ascii="Arial" w:hAnsi="Arial" w:cs="Arial"/>
                <w:sz w:val="20"/>
                <w:szCs w:val="20"/>
              </w:rPr>
            </w:pPr>
          </w:p>
        </w:tc>
      </w:tr>
      <w:tr w:rsidR="00E448EF" w:rsidTr="00AD2767">
        <w:tc>
          <w:tcPr>
            <w:tcW w:w="939" w:type="dxa"/>
          </w:tcPr>
          <w:p w:rsidR="00E448EF" w:rsidRDefault="00E448EF">
            <w:pPr>
              <w:rPr>
                <w:rFonts w:ascii="Arial" w:hAnsi="Arial" w:cs="Arial"/>
                <w:sz w:val="22"/>
                <w:szCs w:val="20"/>
              </w:rPr>
            </w:pPr>
            <w:r>
              <w:rPr>
                <w:rFonts w:ascii="Arial" w:hAnsi="Arial" w:cs="Arial"/>
                <w:sz w:val="22"/>
                <w:szCs w:val="20"/>
              </w:rPr>
              <w:lastRenderedPageBreak/>
              <w:t>3.1.7</w:t>
            </w:r>
          </w:p>
        </w:tc>
        <w:tc>
          <w:tcPr>
            <w:tcW w:w="8842" w:type="dxa"/>
            <w:gridSpan w:val="4"/>
          </w:tcPr>
          <w:p w:rsidR="00F73A77" w:rsidRDefault="00836C5D" w:rsidP="00C30CA1">
            <w:pPr>
              <w:ind w:right="-22"/>
              <w:jc w:val="both"/>
              <w:rPr>
                <w:rFonts w:ascii="Arial" w:hAnsi="Arial" w:cs="Arial"/>
                <w:sz w:val="20"/>
                <w:szCs w:val="20"/>
              </w:rPr>
            </w:pPr>
            <w:r>
              <w:rPr>
                <w:rFonts w:ascii="Arial" w:hAnsi="Arial" w:cs="Arial"/>
                <w:sz w:val="20"/>
                <w:szCs w:val="20"/>
              </w:rPr>
              <w:t>Dr Bobeva commented on the relationship between the growth of a particul</w:t>
            </w:r>
            <w:r w:rsidR="00205B8E">
              <w:rPr>
                <w:rFonts w:ascii="Arial" w:hAnsi="Arial" w:cs="Arial"/>
                <w:sz w:val="20"/>
                <w:szCs w:val="20"/>
              </w:rPr>
              <w:t>ar programme and the impact of C</w:t>
            </w:r>
            <w:r>
              <w:rPr>
                <w:rFonts w:ascii="Arial" w:hAnsi="Arial" w:cs="Arial"/>
                <w:sz w:val="20"/>
                <w:szCs w:val="20"/>
              </w:rPr>
              <w:t>learing. Dr Bobeva questioned whether the students who were failing un</w:t>
            </w:r>
            <w:r w:rsidR="00C30CA1">
              <w:rPr>
                <w:rFonts w:ascii="Arial" w:hAnsi="Arial" w:cs="Arial"/>
                <w:sz w:val="20"/>
                <w:szCs w:val="20"/>
              </w:rPr>
              <w:t xml:space="preserve">its were the students accepted by </w:t>
            </w:r>
            <w:r>
              <w:rPr>
                <w:rFonts w:ascii="Arial" w:hAnsi="Arial" w:cs="Arial"/>
                <w:sz w:val="20"/>
                <w:szCs w:val="20"/>
              </w:rPr>
              <w:t xml:space="preserve">BU through </w:t>
            </w:r>
            <w:r w:rsidR="00205B8E">
              <w:rPr>
                <w:rFonts w:ascii="Arial" w:hAnsi="Arial" w:cs="Arial"/>
                <w:sz w:val="20"/>
                <w:szCs w:val="20"/>
              </w:rPr>
              <w:t>C</w:t>
            </w:r>
            <w:r>
              <w:rPr>
                <w:rFonts w:ascii="Arial" w:hAnsi="Arial" w:cs="Arial"/>
                <w:sz w:val="20"/>
                <w:szCs w:val="20"/>
              </w:rPr>
              <w:t>learing. Dr Sheridan advised that he had looked into this issue and it was established that students had left the University for other reasons.</w:t>
            </w:r>
            <w:r w:rsidR="00205B8E">
              <w:rPr>
                <w:rFonts w:ascii="Arial" w:hAnsi="Arial" w:cs="Arial"/>
                <w:sz w:val="20"/>
                <w:szCs w:val="20"/>
              </w:rPr>
              <w:t xml:space="preserve"> In general, the</w:t>
            </w:r>
            <w:r w:rsidR="00267ED5">
              <w:rPr>
                <w:rFonts w:ascii="Arial" w:hAnsi="Arial" w:cs="Arial"/>
                <w:sz w:val="20"/>
                <w:szCs w:val="20"/>
              </w:rPr>
              <w:t xml:space="preserve">re was not a relationship between </w:t>
            </w:r>
            <w:r w:rsidR="00205B8E">
              <w:rPr>
                <w:rFonts w:ascii="Arial" w:hAnsi="Arial" w:cs="Arial"/>
                <w:sz w:val="20"/>
                <w:szCs w:val="20"/>
              </w:rPr>
              <w:t xml:space="preserve">students failing units </w:t>
            </w:r>
            <w:r w:rsidR="00267ED5">
              <w:rPr>
                <w:rFonts w:ascii="Arial" w:hAnsi="Arial" w:cs="Arial"/>
                <w:sz w:val="20"/>
                <w:szCs w:val="20"/>
              </w:rPr>
              <w:t xml:space="preserve">and </w:t>
            </w:r>
            <w:r w:rsidR="00205B8E">
              <w:rPr>
                <w:rFonts w:ascii="Arial" w:hAnsi="Arial" w:cs="Arial"/>
                <w:sz w:val="20"/>
                <w:szCs w:val="20"/>
              </w:rPr>
              <w:t>enter</w:t>
            </w:r>
            <w:r w:rsidR="00267ED5">
              <w:rPr>
                <w:rFonts w:ascii="Arial" w:hAnsi="Arial" w:cs="Arial"/>
                <w:sz w:val="20"/>
                <w:szCs w:val="20"/>
              </w:rPr>
              <w:t xml:space="preserve">ing </w:t>
            </w:r>
            <w:r w:rsidR="00205B8E">
              <w:rPr>
                <w:rFonts w:ascii="Arial" w:hAnsi="Arial" w:cs="Arial"/>
                <w:sz w:val="20"/>
                <w:szCs w:val="20"/>
              </w:rPr>
              <w:t xml:space="preserve">the University through Clearing. </w:t>
            </w:r>
            <w:r w:rsidR="00267ED5">
              <w:rPr>
                <w:rFonts w:ascii="Arial" w:hAnsi="Arial" w:cs="Arial"/>
                <w:sz w:val="20"/>
                <w:szCs w:val="20"/>
              </w:rPr>
              <w:t>Following this discussion t</w:t>
            </w:r>
            <w:r w:rsidR="00205B8E">
              <w:rPr>
                <w:rFonts w:ascii="Arial" w:hAnsi="Arial" w:cs="Arial"/>
                <w:sz w:val="20"/>
                <w:szCs w:val="20"/>
              </w:rPr>
              <w:t>he Committee</w:t>
            </w:r>
            <w:r w:rsidR="00F73A77">
              <w:rPr>
                <w:rFonts w:ascii="Arial" w:hAnsi="Arial" w:cs="Arial"/>
                <w:sz w:val="20"/>
                <w:szCs w:val="20"/>
              </w:rPr>
              <w:t xml:space="preserve"> requested Dr Sheridan to revisit the information and provide the Committee with:</w:t>
            </w:r>
          </w:p>
          <w:p w:rsidR="00F73A77" w:rsidRDefault="00F73A77" w:rsidP="00836C5D">
            <w:pPr>
              <w:ind w:right="-22"/>
              <w:rPr>
                <w:rFonts w:ascii="Arial" w:hAnsi="Arial" w:cs="Arial"/>
                <w:sz w:val="20"/>
                <w:szCs w:val="20"/>
              </w:rPr>
            </w:pPr>
          </w:p>
          <w:p w:rsidR="00F73A77" w:rsidRDefault="00F73A77" w:rsidP="00F73A77">
            <w:pPr>
              <w:pStyle w:val="ListParagraph"/>
              <w:numPr>
                <w:ilvl w:val="0"/>
                <w:numId w:val="9"/>
              </w:numPr>
              <w:ind w:right="-22"/>
              <w:rPr>
                <w:rFonts w:ascii="Arial" w:hAnsi="Arial" w:cs="Arial"/>
                <w:sz w:val="20"/>
                <w:szCs w:val="20"/>
              </w:rPr>
            </w:pPr>
            <w:r>
              <w:rPr>
                <w:rFonts w:ascii="Arial" w:hAnsi="Arial" w:cs="Arial"/>
                <w:sz w:val="20"/>
                <w:szCs w:val="20"/>
              </w:rPr>
              <w:t>A 5 year trend of Level C progression for those failing one unit</w:t>
            </w:r>
            <w:r w:rsidR="00AB4367">
              <w:rPr>
                <w:rFonts w:ascii="Arial" w:hAnsi="Arial" w:cs="Arial"/>
                <w:sz w:val="20"/>
                <w:szCs w:val="20"/>
              </w:rPr>
              <w:t>;</w:t>
            </w:r>
          </w:p>
          <w:p w:rsidR="00F73A77" w:rsidRDefault="00F73A77" w:rsidP="00F73A77">
            <w:pPr>
              <w:pStyle w:val="ListParagraph"/>
              <w:numPr>
                <w:ilvl w:val="0"/>
                <w:numId w:val="9"/>
              </w:numPr>
              <w:ind w:right="-22"/>
              <w:rPr>
                <w:rFonts w:ascii="Arial" w:hAnsi="Arial" w:cs="Arial"/>
                <w:sz w:val="20"/>
                <w:szCs w:val="20"/>
              </w:rPr>
            </w:pPr>
            <w:r>
              <w:rPr>
                <w:rFonts w:ascii="Arial" w:hAnsi="Arial" w:cs="Arial"/>
                <w:sz w:val="20"/>
                <w:szCs w:val="20"/>
              </w:rPr>
              <w:t>A breakdown by semester 1 and 2</w:t>
            </w:r>
            <w:r w:rsidR="00AB4367">
              <w:rPr>
                <w:rFonts w:ascii="Arial" w:hAnsi="Arial" w:cs="Arial"/>
                <w:sz w:val="20"/>
                <w:szCs w:val="20"/>
              </w:rPr>
              <w:t>;</w:t>
            </w:r>
          </w:p>
          <w:p w:rsidR="00F73A77" w:rsidRDefault="00F73A77" w:rsidP="00F73A77">
            <w:pPr>
              <w:pStyle w:val="ListParagraph"/>
              <w:numPr>
                <w:ilvl w:val="0"/>
                <w:numId w:val="9"/>
              </w:numPr>
              <w:ind w:right="-22"/>
              <w:rPr>
                <w:rFonts w:ascii="Arial" w:hAnsi="Arial" w:cs="Arial"/>
                <w:sz w:val="20"/>
                <w:szCs w:val="20"/>
              </w:rPr>
            </w:pPr>
            <w:r>
              <w:rPr>
                <w:rFonts w:ascii="Arial" w:hAnsi="Arial" w:cs="Arial"/>
                <w:sz w:val="20"/>
                <w:szCs w:val="20"/>
              </w:rPr>
              <w:t>A breakdown of the 169 students who re-enrolled after gaining only 100 2014/15 Level C credits</w:t>
            </w:r>
            <w:r w:rsidR="00AB4367">
              <w:rPr>
                <w:rFonts w:ascii="Arial" w:hAnsi="Arial" w:cs="Arial"/>
                <w:sz w:val="20"/>
                <w:szCs w:val="20"/>
              </w:rPr>
              <w:t>;</w:t>
            </w:r>
          </w:p>
          <w:p w:rsidR="00AB4367" w:rsidRPr="00F73A77" w:rsidRDefault="00AB4367" w:rsidP="00F73A77">
            <w:pPr>
              <w:pStyle w:val="ListParagraph"/>
              <w:numPr>
                <w:ilvl w:val="0"/>
                <w:numId w:val="9"/>
              </w:numPr>
              <w:ind w:right="-22"/>
              <w:rPr>
                <w:rFonts w:ascii="Arial" w:hAnsi="Arial" w:cs="Arial"/>
                <w:sz w:val="20"/>
                <w:szCs w:val="20"/>
              </w:rPr>
            </w:pPr>
            <w:r>
              <w:rPr>
                <w:rFonts w:ascii="Arial" w:hAnsi="Arial" w:cs="Arial"/>
                <w:sz w:val="20"/>
                <w:szCs w:val="20"/>
              </w:rPr>
              <w:t>A longitudinal analysis of 2013/14 Level C through to 2015/16 to get the progression post-repeat/retake of the failed unit (the equivalent of characterising the 169 re-enrolments).</w:t>
            </w:r>
          </w:p>
          <w:p w:rsidR="00F73A77" w:rsidRDefault="00AB4367" w:rsidP="00AB4367">
            <w:pPr>
              <w:ind w:right="-22"/>
              <w:jc w:val="right"/>
              <w:rPr>
                <w:rFonts w:ascii="Arial" w:hAnsi="Arial" w:cs="Arial"/>
                <w:b/>
                <w:sz w:val="20"/>
                <w:szCs w:val="20"/>
              </w:rPr>
            </w:pPr>
            <w:r>
              <w:rPr>
                <w:rFonts w:ascii="Arial" w:hAnsi="Arial" w:cs="Arial"/>
                <w:b/>
                <w:sz w:val="20"/>
                <w:szCs w:val="20"/>
              </w:rPr>
              <w:t>Action:  LS</w:t>
            </w:r>
          </w:p>
          <w:p w:rsidR="00930715" w:rsidRPr="00AB4367" w:rsidRDefault="00930715" w:rsidP="00AB4367">
            <w:pPr>
              <w:ind w:right="-22"/>
              <w:jc w:val="right"/>
              <w:rPr>
                <w:rFonts w:ascii="Arial" w:hAnsi="Arial" w:cs="Arial"/>
                <w:b/>
                <w:sz w:val="20"/>
                <w:szCs w:val="20"/>
              </w:rPr>
            </w:pPr>
          </w:p>
          <w:p w:rsidR="00E448EF" w:rsidRDefault="005F1C9E" w:rsidP="00C30CA1">
            <w:pPr>
              <w:ind w:right="-22"/>
              <w:jc w:val="both"/>
              <w:rPr>
                <w:rFonts w:ascii="Arial" w:hAnsi="Arial" w:cs="Arial"/>
                <w:sz w:val="20"/>
                <w:szCs w:val="20"/>
              </w:rPr>
            </w:pPr>
            <w:r>
              <w:rPr>
                <w:rFonts w:ascii="Arial" w:hAnsi="Arial" w:cs="Arial"/>
                <w:sz w:val="20"/>
                <w:szCs w:val="20"/>
              </w:rPr>
              <w:t xml:space="preserve">It was hoped this information would assist </w:t>
            </w:r>
            <w:r w:rsidR="00267ED5">
              <w:rPr>
                <w:rFonts w:ascii="Arial" w:hAnsi="Arial" w:cs="Arial"/>
                <w:sz w:val="20"/>
                <w:szCs w:val="20"/>
              </w:rPr>
              <w:t xml:space="preserve">decisions on the most appropriate way forward that did not unnecessarily disadvantage students but maintained academic rigour.  </w:t>
            </w:r>
          </w:p>
          <w:p w:rsidR="006C4AF7" w:rsidRDefault="006C4AF7" w:rsidP="00836C5D">
            <w:pPr>
              <w:ind w:right="-22"/>
              <w:rPr>
                <w:rFonts w:ascii="Arial" w:hAnsi="Arial" w:cs="Arial"/>
                <w:sz w:val="20"/>
                <w:szCs w:val="20"/>
              </w:rPr>
            </w:pPr>
          </w:p>
        </w:tc>
      </w:tr>
      <w:tr w:rsidR="006C4AF7" w:rsidTr="00AD2767">
        <w:tc>
          <w:tcPr>
            <w:tcW w:w="939" w:type="dxa"/>
          </w:tcPr>
          <w:p w:rsidR="006C4AF7" w:rsidRDefault="006C4AF7">
            <w:pPr>
              <w:rPr>
                <w:rFonts w:ascii="Arial" w:hAnsi="Arial" w:cs="Arial"/>
                <w:sz w:val="22"/>
                <w:szCs w:val="20"/>
              </w:rPr>
            </w:pPr>
            <w:r>
              <w:rPr>
                <w:rFonts w:ascii="Arial" w:hAnsi="Arial" w:cs="Arial"/>
                <w:sz w:val="22"/>
                <w:szCs w:val="20"/>
              </w:rPr>
              <w:t>3.1.8</w:t>
            </w:r>
          </w:p>
        </w:tc>
        <w:tc>
          <w:tcPr>
            <w:tcW w:w="8842" w:type="dxa"/>
            <w:gridSpan w:val="4"/>
          </w:tcPr>
          <w:p w:rsidR="006C4AF7" w:rsidRDefault="00DC6382" w:rsidP="00C30CA1">
            <w:pPr>
              <w:ind w:right="-22"/>
              <w:jc w:val="both"/>
              <w:rPr>
                <w:rFonts w:ascii="Arial" w:hAnsi="Arial" w:cs="Arial"/>
                <w:sz w:val="20"/>
                <w:szCs w:val="20"/>
              </w:rPr>
            </w:pPr>
            <w:r>
              <w:rPr>
                <w:rFonts w:ascii="Arial" w:hAnsi="Arial" w:cs="Arial"/>
                <w:sz w:val="20"/>
                <w:szCs w:val="20"/>
              </w:rPr>
              <w:t xml:space="preserve">Ms Schendel-Wilson believed that if a unit was a crucial unit to pass in order to move on to the next </w:t>
            </w:r>
            <w:r w:rsidR="00C30CA1">
              <w:rPr>
                <w:rFonts w:ascii="Arial" w:hAnsi="Arial" w:cs="Arial"/>
                <w:sz w:val="20"/>
                <w:szCs w:val="20"/>
              </w:rPr>
              <w:t>level of study, it would be beneficial</w:t>
            </w:r>
            <w:r>
              <w:rPr>
                <w:rFonts w:ascii="Arial" w:hAnsi="Arial" w:cs="Arial"/>
                <w:sz w:val="20"/>
                <w:szCs w:val="20"/>
              </w:rPr>
              <w:t xml:space="preserve"> to give those students who were capable</w:t>
            </w:r>
            <w:r w:rsidR="00C30CA1">
              <w:rPr>
                <w:rFonts w:ascii="Arial" w:hAnsi="Arial" w:cs="Arial"/>
                <w:sz w:val="20"/>
                <w:szCs w:val="20"/>
              </w:rPr>
              <w:t>,</w:t>
            </w:r>
            <w:r>
              <w:rPr>
                <w:rFonts w:ascii="Arial" w:hAnsi="Arial" w:cs="Arial"/>
                <w:sz w:val="20"/>
                <w:szCs w:val="20"/>
              </w:rPr>
              <w:t xml:space="preserve"> the option to repeat a unit within a couple of months.  </w:t>
            </w:r>
          </w:p>
          <w:p w:rsidR="00DC6382" w:rsidRDefault="00DC6382" w:rsidP="00DC6382">
            <w:pPr>
              <w:ind w:right="-22"/>
              <w:rPr>
                <w:rFonts w:ascii="Arial" w:hAnsi="Arial" w:cs="Arial"/>
                <w:sz w:val="20"/>
                <w:szCs w:val="20"/>
              </w:rPr>
            </w:pPr>
          </w:p>
        </w:tc>
      </w:tr>
      <w:tr w:rsidR="00DC6382" w:rsidTr="00AD2767">
        <w:tc>
          <w:tcPr>
            <w:tcW w:w="939" w:type="dxa"/>
          </w:tcPr>
          <w:p w:rsidR="00DC6382" w:rsidRDefault="00DC6382">
            <w:pPr>
              <w:rPr>
                <w:rFonts w:ascii="Arial" w:hAnsi="Arial" w:cs="Arial"/>
                <w:sz w:val="22"/>
                <w:szCs w:val="20"/>
              </w:rPr>
            </w:pPr>
            <w:r>
              <w:rPr>
                <w:rFonts w:ascii="Arial" w:hAnsi="Arial" w:cs="Arial"/>
                <w:sz w:val="22"/>
                <w:szCs w:val="20"/>
              </w:rPr>
              <w:t>3.1.9</w:t>
            </w:r>
          </w:p>
        </w:tc>
        <w:tc>
          <w:tcPr>
            <w:tcW w:w="8842" w:type="dxa"/>
            <w:gridSpan w:val="4"/>
          </w:tcPr>
          <w:p w:rsidR="00DC6382" w:rsidRDefault="00983660" w:rsidP="00C30CA1">
            <w:pPr>
              <w:ind w:right="-22"/>
              <w:jc w:val="both"/>
              <w:rPr>
                <w:rFonts w:ascii="Arial" w:hAnsi="Arial" w:cs="Arial"/>
                <w:sz w:val="20"/>
                <w:szCs w:val="20"/>
              </w:rPr>
            </w:pPr>
            <w:r>
              <w:rPr>
                <w:rFonts w:ascii="Arial" w:hAnsi="Arial" w:cs="Arial"/>
                <w:sz w:val="20"/>
                <w:szCs w:val="20"/>
              </w:rPr>
              <w:t>Members shared their experiences as external examiners at other Unive</w:t>
            </w:r>
            <w:r w:rsidR="008C040D">
              <w:rPr>
                <w:rFonts w:ascii="Arial" w:hAnsi="Arial" w:cs="Arial"/>
                <w:sz w:val="20"/>
                <w:szCs w:val="20"/>
              </w:rPr>
              <w:t xml:space="preserve">rsities and it was agreed that Bournemouth </w:t>
            </w:r>
            <w:r>
              <w:rPr>
                <w:rFonts w:ascii="Arial" w:hAnsi="Arial" w:cs="Arial"/>
                <w:sz w:val="20"/>
                <w:szCs w:val="20"/>
              </w:rPr>
              <w:t xml:space="preserve">University’s </w:t>
            </w:r>
            <w:r w:rsidR="00090DF1">
              <w:rPr>
                <w:rFonts w:ascii="Arial" w:hAnsi="Arial" w:cs="Arial"/>
                <w:sz w:val="20"/>
                <w:szCs w:val="20"/>
              </w:rPr>
              <w:t>compensation regulations were more demanding</w:t>
            </w:r>
            <w:r w:rsidR="00267ED5">
              <w:rPr>
                <w:rFonts w:ascii="Arial" w:hAnsi="Arial" w:cs="Arial"/>
                <w:sz w:val="20"/>
                <w:szCs w:val="20"/>
              </w:rPr>
              <w:t xml:space="preserve"> in terms of the percentage level at which it was applied</w:t>
            </w:r>
            <w:r w:rsidR="00090DF1">
              <w:rPr>
                <w:rFonts w:ascii="Arial" w:hAnsi="Arial" w:cs="Arial"/>
                <w:sz w:val="20"/>
                <w:szCs w:val="20"/>
              </w:rPr>
              <w:t xml:space="preserve">. It was acknowledged that </w:t>
            </w:r>
            <w:r w:rsidR="00267ED5">
              <w:rPr>
                <w:rFonts w:ascii="Arial" w:hAnsi="Arial" w:cs="Arial"/>
                <w:sz w:val="20"/>
                <w:szCs w:val="20"/>
              </w:rPr>
              <w:t xml:space="preserve">whilst </w:t>
            </w:r>
            <w:r w:rsidR="008C040D">
              <w:rPr>
                <w:rFonts w:ascii="Arial" w:hAnsi="Arial" w:cs="Arial"/>
                <w:sz w:val="20"/>
                <w:szCs w:val="20"/>
              </w:rPr>
              <w:t>the University had</w:t>
            </w:r>
            <w:r w:rsidR="00090DF1">
              <w:rPr>
                <w:rFonts w:ascii="Arial" w:hAnsi="Arial" w:cs="Arial"/>
                <w:sz w:val="20"/>
                <w:szCs w:val="20"/>
              </w:rPr>
              <w:t xml:space="preserve"> </w:t>
            </w:r>
            <w:r w:rsidR="00267ED5">
              <w:rPr>
                <w:rFonts w:ascii="Arial" w:hAnsi="Arial" w:cs="Arial"/>
                <w:sz w:val="20"/>
                <w:szCs w:val="20"/>
              </w:rPr>
              <w:t xml:space="preserve">regulations </w:t>
            </w:r>
            <w:r w:rsidR="00090DF1">
              <w:rPr>
                <w:rFonts w:ascii="Arial" w:hAnsi="Arial" w:cs="Arial"/>
                <w:sz w:val="20"/>
                <w:szCs w:val="20"/>
              </w:rPr>
              <w:t xml:space="preserve">in place where compensation could be applied, </w:t>
            </w:r>
            <w:r w:rsidR="00267ED5">
              <w:rPr>
                <w:rFonts w:ascii="Arial" w:hAnsi="Arial" w:cs="Arial"/>
                <w:sz w:val="20"/>
                <w:szCs w:val="20"/>
              </w:rPr>
              <w:t xml:space="preserve">the narrow window (2%) meant that </w:t>
            </w:r>
            <w:r w:rsidR="00090DF1">
              <w:rPr>
                <w:rFonts w:ascii="Arial" w:hAnsi="Arial" w:cs="Arial"/>
                <w:sz w:val="20"/>
                <w:szCs w:val="20"/>
              </w:rPr>
              <w:t xml:space="preserve">only </w:t>
            </w:r>
            <w:r w:rsidR="00267ED5">
              <w:rPr>
                <w:rFonts w:ascii="Arial" w:hAnsi="Arial" w:cs="Arial"/>
                <w:sz w:val="20"/>
                <w:szCs w:val="20"/>
              </w:rPr>
              <w:t>a small number o</w:t>
            </w:r>
            <w:r w:rsidR="00EA001A">
              <w:rPr>
                <w:rFonts w:ascii="Arial" w:hAnsi="Arial" w:cs="Arial"/>
                <w:sz w:val="20"/>
                <w:szCs w:val="20"/>
              </w:rPr>
              <w:t>f</w:t>
            </w:r>
            <w:r w:rsidR="00267ED5">
              <w:rPr>
                <w:rFonts w:ascii="Arial" w:hAnsi="Arial" w:cs="Arial"/>
                <w:sz w:val="20"/>
                <w:szCs w:val="20"/>
              </w:rPr>
              <w:t xml:space="preserve"> students were currently compensated.</w:t>
            </w:r>
            <w:r w:rsidR="00090DF1">
              <w:rPr>
                <w:rFonts w:ascii="Arial" w:hAnsi="Arial" w:cs="Arial"/>
                <w:sz w:val="20"/>
                <w:szCs w:val="20"/>
              </w:rPr>
              <w:t xml:space="preserve"> Dr Main suggested that the University could amend its compensation regulations </w:t>
            </w:r>
            <w:r w:rsidR="004756A3">
              <w:rPr>
                <w:rFonts w:ascii="Arial" w:hAnsi="Arial" w:cs="Arial"/>
                <w:sz w:val="20"/>
                <w:szCs w:val="20"/>
              </w:rPr>
              <w:t xml:space="preserve">by reducing the </w:t>
            </w:r>
            <w:r w:rsidR="00090DF1">
              <w:rPr>
                <w:rFonts w:ascii="Arial" w:hAnsi="Arial" w:cs="Arial"/>
                <w:sz w:val="20"/>
                <w:szCs w:val="20"/>
              </w:rPr>
              <w:t>minimum figure</w:t>
            </w:r>
            <w:r w:rsidR="008C040D">
              <w:rPr>
                <w:rFonts w:ascii="Arial" w:hAnsi="Arial" w:cs="Arial"/>
                <w:sz w:val="20"/>
                <w:szCs w:val="20"/>
              </w:rPr>
              <w:t>,</w:t>
            </w:r>
            <w:r w:rsidR="00090DF1">
              <w:rPr>
                <w:rFonts w:ascii="Arial" w:hAnsi="Arial" w:cs="Arial"/>
                <w:sz w:val="20"/>
                <w:szCs w:val="20"/>
              </w:rPr>
              <w:t xml:space="preserve"> which would </w:t>
            </w:r>
            <w:r w:rsidR="008C040D">
              <w:rPr>
                <w:rFonts w:ascii="Arial" w:hAnsi="Arial" w:cs="Arial"/>
                <w:sz w:val="20"/>
                <w:szCs w:val="20"/>
              </w:rPr>
              <w:t xml:space="preserve">need to </w:t>
            </w:r>
            <w:r w:rsidR="00090DF1">
              <w:rPr>
                <w:rFonts w:ascii="Arial" w:hAnsi="Arial" w:cs="Arial"/>
                <w:sz w:val="20"/>
                <w:szCs w:val="20"/>
              </w:rPr>
              <w:t>be agreed in due course.  Ms Symonds believed that reducing the figure to 36%</w:t>
            </w:r>
            <w:r w:rsidR="004756A3">
              <w:rPr>
                <w:rFonts w:ascii="Arial" w:hAnsi="Arial" w:cs="Arial"/>
                <w:sz w:val="20"/>
                <w:szCs w:val="20"/>
              </w:rPr>
              <w:t xml:space="preserve"> (10% of the pass mark)</w:t>
            </w:r>
            <w:r w:rsidR="00090DF1">
              <w:rPr>
                <w:rFonts w:ascii="Arial" w:hAnsi="Arial" w:cs="Arial"/>
                <w:sz w:val="20"/>
                <w:szCs w:val="20"/>
              </w:rPr>
              <w:t xml:space="preserve"> may assist with the </w:t>
            </w:r>
            <w:r w:rsidR="005E2DA2">
              <w:rPr>
                <w:rFonts w:ascii="Arial" w:hAnsi="Arial" w:cs="Arial"/>
                <w:sz w:val="20"/>
                <w:szCs w:val="20"/>
              </w:rPr>
              <w:t>issue;</w:t>
            </w:r>
            <w:r w:rsidR="004756A3">
              <w:rPr>
                <w:rFonts w:ascii="Arial" w:hAnsi="Arial" w:cs="Arial"/>
                <w:sz w:val="20"/>
                <w:szCs w:val="20"/>
              </w:rPr>
              <w:t xml:space="preserve"> this figure was similar to that in use elsewhere in the sector.</w:t>
            </w:r>
            <w:r w:rsidR="00090DF1">
              <w:rPr>
                <w:rFonts w:ascii="Arial" w:hAnsi="Arial" w:cs="Arial"/>
                <w:sz w:val="20"/>
                <w:szCs w:val="20"/>
              </w:rPr>
              <w:t xml:space="preserve">  If the figure</w:t>
            </w:r>
            <w:r w:rsidR="00C30CA1">
              <w:rPr>
                <w:rFonts w:ascii="Arial" w:hAnsi="Arial" w:cs="Arial"/>
                <w:sz w:val="20"/>
                <w:szCs w:val="20"/>
              </w:rPr>
              <w:t>s</w:t>
            </w:r>
            <w:r w:rsidR="00090DF1">
              <w:rPr>
                <w:rFonts w:ascii="Arial" w:hAnsi="Arial" w:cs="Arial"/>
                <w:sz w:val="20"/>
                <w:szCs w:val="20"/>
              </w:rPr>
              <w:t xml:space="preserve"> were t</w:t>
            </w:r>
            <w:r w:rsidR="00AF2F87">
              <w:rPr>
                <w:rFonts w:ascii="Arial" w:hAnsi="Arial" w:cs="Arial"/>
                <w:sz w:val="20"/>
                <w:szCs w:val="20"/>
              </w:rPr>
              <w:t>o be reduced any further, this c</w:t>
            </w:r>
            <w:r w:rsidR="00090DF1">
              <w:rPr>
                <w:rFonts w:ascii="Arial" w:hAnsi="Arial" w:cs="Arial"/>
                <w:sz w:val="20"/>
                <w:szCs w:val="20"/>
              </w:rPr>
              <w:t xml:space="preserve">ould create significant concerns </w:t>
            </w:r>
            <w:r w:rsidR="00AF2F87">
              <w:rPr>
                <w:rFonts w:ascii="Arial" w:hAnsi="Arial" w:cs="Arial"/>
                <w:sz w:val="20"/>
                <w:szCs w:val="20"/>
              </w:rPr>
              <w:t xml:space="preserve">for </w:t>
            </w:r>
            <w:r w:rsidR="00090DF1">
              <w:rPr>
                <w:rFonts w:ascii="Arial" w:hAnsi="Arial" w:cs="Arial"/>
                <w:sz w:val="20"/>
                <w:szCs w:val="20"/>
              </w:rPr>
              <w:t>students meeting their learning outcomes, although there was some potential to look at this issue in further detail.</w:t>
            </w:r>
          </w:p>
          <w:p w:rsidR="00090DF1" w:rsidRDefault="00090DF1" w:rsidP="00090DF1">
            <w:pPr>
              <w:ind w:right="-22"/>
              <w:rPr>
                <w:rFonts w:ascii="Arial" w:hAnsi="Arial" w:cs="Arial"/>
                <w:sz w:val="20"/>
                <w:szCs w:val="20"/>
              </w:rPr>
            </w:pPr>
          </w:p>
        </w:tc>
      </w:tr>
      <w:tr w:rsidR="00090DF1" w:rsidTr="00AD2767">
        <w:tc>
          <w:tcPr>
            <w:tcW w:w="939" w:type="dxa"/>
          </w:tcPr>
          <w:p w:rsidR="00090DF1" w:rsidRDefault="00090DF1">
            <w:pPr>
              <w:rPr>
                <w:rFonts w:ascii="Arial" w:hAnsi="Arial" w:cs="Arial"/>
                <w:sz w:val="22"/>
                <w:szCs w:val="20"/>
              </w:rPr>
            </w:pPr>
            <w:r>
              <w:rPr>
                <w:rFonts w:ascii="Arial" w:hAnsi="Arial" w:cs="Arial"/>
                <w:sz w:val="22"/>
                <w:szCs w:val="20"/>
              </w:rPr>
              <w:t>3.1.10</w:t>
            </w:r>
          </w:p>
        </w:tc>
        <w:tc>
          <w:tcPr>
            <w:tcW w:w="8842" w:type="dxa"/>
            <w:gridSpan w:val="4"/>
          </w:tcPr>
          <w:p w:rsidR="00090DF1" w:rsidRDefault="005E2DA2" w:rsidP="00C30CA1">
            <w:pPr>
              <w:ind w:right="-22"/>
              <w:jc w:val="both"/>
              <w:rPr>
                <w:rFonts w:ascii="Arial" w:hAnsi="Arial" w:cs="Arial"/>
                <w:sz w:val="20"/>
                <w:szCs w:val="20"/>
              </w:rPr>
            </w:pPr>
            <w:r>
              <w:rPr>
                <w:rFonts w:ascii="Arial" w:hAnsi="Arial" w:cs="Arial"/>
                <w:sz w:val="20"/>
                <w:szCs w:val="20"/>
              </w:rPr>
              <w:t xml:space="preserve">Some of the </w:t>
            </w:r>
            <w:proofErr w:type="gramStart"/>
            <w:r w:rsidR="00AF2F87">
              <w:rPr>
                <w:rFonts w:ascii="Arial" w:hAnsi="Arial" w:cs="Arial"/>
                <w:sz w:val="20"/>
                <w:szCs w:val="20"/>
              </w:rPr>
              <w:t>Universities</w:t>
            </w:r>
            <w:proofErr w:type="gramEnd"/>
            <w:r w:rsidR="00AF2F87">
              <w:rPr>
                <w:rFonts w:ascii="Arial" w:hAnsi="Arial" w:cs="Arial"/>
                <w:sz w:val="20"/>
                <w:szCs w:val="20"/>
              </w:rPr>
              <w:t xml:space="preserve"> </w:t>
            </w:r>
            <w:r>
              <w:rPr>
                <w:rFonts w:ascii="Arial" w:hAnsi="Arial" w:cs="Arial"/>
                <w:sz w:val="20"/>
                <w:szCs w:val="20"/>
              </w:rPr>
              <w:t xml:space="preserve">who </w:t>
            </w:r>
            <w:r w:rsidR="004756A3">
              <w:rPr>
                <w:rFonts w:ascii="Arial" w:hAnsi="Arial" w:cs="Arial"/>
                <w:sz w:val="20"/>
                <w:szCs w:val="20"/>
              </w:rPr>
              <w:t xml:space="preserve">had responded </w:t>
            </w:r>
            <w:r>
              <w:rPr>
                <w:rFonts w:ascii="Arial" w:hAnsi="Arial" w:cs="Arial"/>
                <w:sz w:val="20"/>
                <w:szCs w:val="20"/>
              </w:rPr>
              <w:t>to the sector research</w:t>
            </w:r>
            <w:r w:rsidR="000D1D20">
              <w:rPr>
                <w:rFonts w:ascii="Arial" w:hAnsi="Arial" w:cs="Arial"/>
                <w:sz w:val="20"/>
                <w:szCs w:val="20"/>
              </w:rPr>
              <w:t>,</w:t>
            </w:r>
            <w:r>
              <w:rPr>
                <w:rFonts w:ascii="Arial" w:hAnsi="Arial" w:cs="Arial"/>
                <w:sz w:val="20"/>
                <w:szCs w:val="20"/>
              </w:rPr>
              <w:t xml:space="preserve"> noted </w:t>
            </w:r>
            <w:r w:rsidR="00AF2F87">
              <w:rPr>
                <w:rFonts w:ascii="Arial" w:hAnsi="Arial" w:cs="Arial"/>
                <w:sz w:val="20"/>
                <w:szCs w:val="20"/>
              </w:rPr>
              <w:t>that those students who con</w:t>
            </w:r>
            <w:r w:rsidR="007A2ABE">
              <w:rPr>
                <w:rFonts w:ascii="Arial" w:hAnsi="Arial" w:cs="Arial"/>
                <w:sz w:val="20"/>
                <w:szCs w:val="20"/>
              </w:rPr>
              <w:t>sistently</w:t>
            </w:r>
            <w:r w:rsidR="00AF2F87">
              <w:rPr>
                <w:rFonts w:ascii="Arial" w:hAnsi="Arial" w:cs="Arial"/>
                <w:sz w:val="20"/>
                <w:szCs w:val="20"/>
              </w:rPr>
              <w:t xml:space="preserve"> fail</w:t>
            </w:r>
            <w:r w:rsidR="00C30CA1">
              <w:rPr>
                <w:rFonts w:ascii="Arial" w:hAnsi="Arial" w:cs="Arial"/>
                <w:sz w:val="20"/>
                <w:szCs w:val="20"/>
              </w:rPr>
              <w:t>ed</w:t>
            </w:r>
            <w:r w:rsidR="00AF2F87">
              <w:rPr>
                <w:rFonts w:ascii="Arial" w:hAnsi="Arial" w:cs="Arial"/>
                <w:sz w:val="20"/>
                <w:szCs w:val="20"/>
              </w:rPr>
              <w:t xml:space="preserve"> each year were the students who may not succeed in the long </w:t>
            </w:r>
            <w:r w:rsidR="008C040D">
              <w:rPr>
                <w:rFonts w:ascii="Arial" w:hAnsi="Arial" w:cs="Arial"/>
                <w:sz w:val="20"/>
                <w:szCs w:val="20"/>
              </w:rPr>
              <w:t>term</w:t>
            </w:r>
            <w:r w:rsidR="00AF2F87">
              <w:rPr>
                <w:rFonts w:ascii="Arial" w:hAnsi="Arial" w:cs="Arial"/>
                <w:sz w:val="20"/>
                <w:szCs w:val="20"/>
              </w:rPr>
              <w:t xml:space="preserve">. Some Universities only allowed students to fail one unit per academic year in order to </w:t>
            </w:r>
            <w:r w:rsidR="007A2ABE">
              <w:rPr>
                <w:rFonts w:ascii="Arial" w:hAnsi="Arial" w:cs="Arial"/>
                <w:sz w:val="20"/>
                <w:szCs w:val="20"/>
              </w:rPr>
              <w:t xml:space="preserve">repeat the failed unit </w:t>
            </w:r>
            <w:r w:rsidR="00AF2F87">
              <w:rPr>
                <w:rFonts w:ascii="Arial" w:hAnsi="Arial" w:cs="Arial"/>
                <w:sz w:val="20"/>
                <w:szCs w:val="20"/>
              </w:rPr>
              <w:t xml:space="preserve">in a short period of time.  Prof Phalp advised that </w:t>
            </w:r>
            <w:r w:rsidR="007A2ABE">
              <w:rPr>
                <w:rFonts w:ascii="Arial" w:hAnsi="Arial" w:cs="Arial"/>
                <w:sz w:val="20"/>
                <w:szCs w:val="20"/>
              </w:rPr>
              <w:t xml:space="preserve">we </w:t>
            </w:r>
            <w:r w:rsidR="00AF2F87">
              <w:rPr>
                <w:rFonts w:ascii="Arial" w:hAnsi="Arial" w:cs="Arial"/>
                <w:sz w:val="20"/>
                <w:szCs w:val="20"/>
              </w:rPr>
              <w:t>would need to understand the nature of wh</w:t>
            </w:r>
            <w:r w:rsidR="007A2ABE">
              <w:rPr>
                <w:rFonts w:ascii="Arial" w:hAnsi="Arial" w:cs="Arial"/>
                <w:sz w:val="20"/>
                <w:szCs w:val="20"/>
              </w:rPr>
              <w:t>y</w:t>
            </w:r>
            <w:r w:rsidR="00AF2F87">
              <w:rPr>
                <w:rFonts w:ascii="Arial" w:hAnsi="Arial" w:cs="Arial"/>
                <w:sz w:val="20"/>
                <w:szCs w:val="20"/>
              </w:rPr>
              <w:t xml:space="preserve"> </w:t>
            </w:r>
            <w:r w:rsidR="007A2ABE">
              <w:rPr>
                <w:rFonts w:ascii="Arial" w:hAnsi="Arial" w:cs="Arial"/>
                <w:sz w:val="20"/>
                <w:szCs w:val="20"/>
              </w:rPr>
              <w:t xml:space="preserve">and how </w:t>
            </w:r>
            <w:r w:rsidR="00AF2F87">
              <w:rPr>
                <w:rFonts w:ascii="Arial" w:hAnsi="Arial" w:cs="Arial"/>
                <w:sz w:val="20"/>
                <w:szCs w:val="20"/>
              </w:rPr>
              <w:t>the student</w:t>
            </w:r>
            <w:r w:rsidR="007A2ABE">
              <w:rPr>
                <w:rFonts w:ascii="Arial" w:hAnsi="Arial" w:cs="Arial"/>
                <w:sz w:val="20"/>
                <w:szCs w:val="20"/>
              </w:rPr>
              <w:t>(s)</w:t>
            </w:r>
            <w:r w:rsidR="00AF2F87">
              <w:rPr>
                <w:rFonts w:ascii="Arial" w:hAnsi="Arial" w:cs="Arial"/>
                <w:sz w:val="20"/>
                <w:szCs w:val="20"/>
              </w:rPr>
              <w:t xml:space="preserve"> had failed</w:t>
            </w:r>
            <w:r w:rsidR="007A2ABE">
              <w:rPr>
                <w:rFonts w:ascii="Arial" w:hAnsi="Arial" w:cs="Arial"/>
                <w:sz w:val="20"/>
                <w:szCs w:val="20"/>
              </w:rPr>
              <w:t xml:space="preserve"> in order to understand the most appropriate way forward</w:t>
            </w:r>
            <w:r w:rsidR="00AF2F87">
              <w:rPr>
                <w:rFonts w:ascii="Arial" w:hAnsi="Arial" w:cs="Arial"/>
                <w:sz w:val="20"/>
                <w:szCs w:val="20"/>
              </w:rPr>
              <w:t>.</w:t>
            </w:r>
          </w:p>
          <w:p w:rsidR="00AF2F87" w:rsidRDefault="00AF2F87" w:rsidP="00AF2F87">
            <w:pPr>
              <w:ind w:right="-22"/>
              <w:rPr>
                <w:rFonts w:ascii="Arial" w:hAnsi="Arial" w:cs="Arial"/>
                <w:sz w:val="20"/>
                <w:szCs w:val="20"/>
              </w:rPr>
            </w:pPr>
          </w:p>
        </w:tc>
      </w:tr>
      <w:tr w:rsidR="00AF2F87" w:rsidTr="00AD2767">
        <w:tc>
          <w:tcPr>
            <w:tcW w:w="939" w:type="dxa"/>
          </w:tcPr>
          <w:p w:rsidR="00AF2F87" w:rsidRDefault="00AF2F87">
            <w:pPr>
              <w:rPr>
                <w:rFonts w:ascii="Arial" w:hAnsi="Arial" w:cs="Arial"/>
                <w:sz w:val="22"/>
                <w:szCs w:val="20"/>
              </w:rPr>
            </w:pPr>
            <w:r>
              <w:rPr>
                <w:rFonts w:ascii="Arial" w:hAnsi="Arial" w:cs="Arial"/>
                <w:sz w:val="22"/>
                <w:szCs w:val="20"/>
              </w:rPr>
              <w:t>3.1.11</w:t>
            </w:r>
          </w:p>
        </w:tc>
        <w:tc>
          <w:tcPr>
            <w:tcW w:w="8842" w:type="dxa"/>
            <w:gridSpan w:val="4"/>
          </w:tcPr>
          <w:p w:rsidR="00AF2F87" w:rsidRDefault="00AF2F87" w:rsidP="00C30CA1">
            <w:pPr>
              <w:ind w:right="-22"/>
              <w:jc w:val="both"/>
              <w:rPr>
                <w:rFonts w:ascii="Arial" w:hAnsi="Arial" w:cs="Arial"/>
                <w:sz w:val="20"/>
                <w:szCs w:val="20"/>
              </w:rPr>
            </w:pPr>
            <w:r>
              <w:rPr>
                <w:rFonts w:ascii="Arial" w:hAnsi="Arial" w:cs="Arial"/>
                <w:sz w:val="20"/>
                <w:szCs w:val="20"/>
              </w:rPr>
              <w:t xml:space="preserve">Mr Rogers reminded members that the University currently allowed </w:t>
            </w:r>
            <w:r w:rsidR="00C30CA1">
              <w:rPr>
                <w:rFonts w:ascii="Arial" w:hAnsi="Arial" w:cs="Arial"/>
                <w:sz w:val="20"/>
                <w:szCs w:val="20"/>
              </w:rPr>
              <w:t xml:space="preserve">compensation of </w:t>
            </w:r>
            <w:r>
              <w:rPr>
                <w:rFonts w:ascii="Arial" w:hAnsi="Arial" w:cs="Arial"/>
                <w:sz w:val="20"/>
                <w:szCs w:val="20"/>
              </w:rPr>
              <w:t>40</w:t>
            </w:r>
            <w:r w:rsidR="00C30CA1">
              <w:rPr>
                <w:rFonts w:ascii="Arial" w:hAnsi="Arial" w:cs="Arial"/>
                <w:sz w:val="20"/>
                <w:szCs w:val="20"/>
              </w:rPr>
              <w:t xml:space="preserve"> credits</w:t>
            </w:r>
            <w:r>
              <w:rPr>
                <w:rFonts w:ascii="Arial" w:hAnsi="Arial" w:cs="Arial"/>
                <w:sz w:val="20"/>
                <w:szCs w:val="20"/>
              </w:rPr>
              <w:t xml:space="preserve"> per level. There was a suggestion in the paper to </w:t>
            </w:r>
            <w:r w:rsidR="00E74A34">
              <w:rPr>
                <w:rFonts w:ascii="Arial" w:hAnsi="Arial" w:cs="Arial"/>
                <w:sz w:val="20"/>
                <w:szCs w:val="20"/>
              </w:rPr>
              <w:t>consider a reduction</w:t>
            </w:r>
            <w:r>
              <w:rPr>
                <w:rFonts w:ascii="Arial" w:hAnsi="Arial" w:cs="Arial"/>
                <w:sz w:val="20"/>
                <w:szCs w:val="20"/>
              </w:rPr>
              <w:t xml:space="preserve"> </w:t>
            </w:r>
            <w:r w:rsidR="007A2ABE">
              <w:rPr>
                <w:rFonts w:ascii="Arial" w:hAnsi="Arial" w:cs="Arial"/>
                <w:sz w:val="20"/>
                <w:szCs w:val="20"/>
              </w:rPr>
              <w:t xml:space="preserve">in </w:t>
            </w:r>
            <w:r>
              <w:rPr>
                <w:rFonts w:ascii="Arial" w:hAnsi="Arial" w:cs="Arial"/>
                <w:sz w:val="20"/>
                <w:szCs w:val="20"/>
              </w:rPr>
              <w:t xml:space="preserve">the compensation limit </w:t>
            </w:r>
            <w:r w:rsidR="00E74A34">
              <w:rPr>
                <w:rFonts w:ascii="Arial" w:hAnsi="Arial" w:cs="Arial"/>
                <w:sz w:val="20"/>
                <w:szCs w:val="20"/>
              </w:rPr>
              <w:t>as it is more generous tha</w:t>
            </w:r>
            <w:r w:rsidR="00EA001A">
              <w:rPr>
                <w:rFonts w:ascii="Arial" w:hAnsi="Arial" w:cs="Arial"/>
                <w:sz w:val="20"/>
                <w:szCs w:val="20"/>
              </w:rPr>
              <w:t>n</w:t>
            </w:r>
            <w:r w:rsidR="00E74A34">
              <w:rPr>
                <w:rFonts w:ascii="Arial" w:hAnsi="Arial" w:cs="Arial"/>
                <w:sz w:val="20"/>
                <w:szCs w:val="20"/>
              </w:rPr>
              <w:t xml:space="preserve"> elsewhere in the sector </w:t>
            </w:r>
            <w:r>
              <w:rPr>
                <w:rFonts w:ascii="Arial" w:hAnsi="Arial" w:cs="Arial"/>
                <w:sz w:val="20"/>
                <w:szCs w:val="20"/>
              </w:rPr>
              <w:t xml:space="preserve">and it was </w:t>
            </w:r>
            <w:r w:rsidR="00E74A34">
              <w:rPr>
                <w:rFonts w:ascii="Arial" w:hAnsi="Arial" w:cs="Arial"/>
                <w:sz w:val="20"/>
                <w:szCs w:val="20"/>
              </w:rPr>
              <w:t xml:space="preserve">queried whether a </w:t>
            </w:r>
            <w:r>
              <w:rPr>
                <w:rFonts w:ascii="Arial" w:hAnsi="Arial" w:cs="Arial"/>
                <w:sz w:val="20"/>
                <w:szCs w:val="20"/>
              </w:rPr>
              <w:t xml:space="preserve">reduction of the compensation limit </w:t>
            </w:r>
            <w:r w:rsidR="00E74A34">
              <w:rPr>
                <w:rFonts w:ascii="Arial" w:hAnsi="Arial" w:cs="Arial"/>
                <w:sz w:val="20"/>
                <w:szCs w:val="20"/>
              </w:rPr>
              <w:t xml:space="preserve">may potentially </w:t>
            </w:r>
            <w:r>
              <w:rPr>
                <w:rFonts w:ascii="Arial" w:hAnsi="Arial" w:cs="Arial"/>
                <w:sz w:val="20"/>
                <w:szCs w:val="20"/>
              </w:rPr>
              <w:t>disadvantag</w:t>
            </w:r>
            <w:r w:rsidR="00E74A34">
              <w:rPr>
                <w:rFonts w:ascii="Arial" w:hAnsi="Arial" w:cs="Arial"/>
                <w:sz w:val="20"/>
                <w:szCs w:val="20"/>
              </w:rPr>
              <w:t xml:space="preserve">e some students. This would need to be balanced against any decision to allow trailing fails. </w:t>
            </w:r>
            <w:r w:rsidR="001942B3">
              <w:rPr>
                <w:rFonts w:ascii="Arial" w:hAnsi="Arial" w:cs="Arial"/>
                <w:sz w:val="20"/>
                <w:szCs w:val="20"/>
              </w:rPr>
              <w:t>Ms Mack remin</w:t>
            </w:r>
            <w:r w:rsidR="008C040D">
              <w:rPr>
                <w:rFonts w:ascii="Arial" w:hAnsi="Arial" w:cs="Arial"/>
                <w:sz w:val="20"/>
                <w:szCs w:val="20"/>
              </w:rPr>
              <w:t>ded members that the assessment</w:t>
            </w:r>
            <w:r w:rsidR="001942B3">
              <w:rPr>
                <w:rFonts w:ascii="Arial" w:hAnsi="Arial" w:cs="Arial"/>
                <w:sz w:val="20"/>
                <w:szCs w:val="20"/>
              </w:rPr>
              <w:t xml:space="preserve"> marks on the assessment board spreadsheet and Unit-E enable sub-elements </w:t>
            </w:r>
            <w:r w:rsidR="007A5C60">
              <w:rPr>
                <w:rFonts w:ascii="Arial" w:hAnsi="Arial" w:cs="Arial"/>
                <w:sz w:val="20"/>
                <w:szCs w:val="20"/>
              </w:rPr>
              <w:t>to be</w:t>
            </w:r>
            <w:r w:rsidR="001942B3">
              <w:rPr>
                <w:rFonts w:ascii="Arial" w:hAnsi="Arial" w:cs="Arial"/>
                <w:sz w:val="20"/>
                <w:szCs w:val="20"/>
              </w:rPr>
              <w:t xml:space="preserve"> aggregated</w:t>
            </w:r>
            <w:r w:rsidR="007A2ABE">
              <w:rPr>
                <w:rFonts w:ascii="Arial" w:hAnsi="Arial" w:cs="Arial"/>
                <w:sz w:val="20"/>
                <w:szCs w:val="20"/>
              </w:rPr>
              <w:t>;</w:t>
            </w:r>
            <w:r w:rsidR="000D1D20">
              <w:rPr>
                <w:rFonts w:ascii="Arial" w:hAnsi="Arial" w:cs="Arial"/>
                <w:sz w:val="20"/>
                <w:szCs w:val="20"/>
              </w:rPr>
              <w:t xml:space="preserve"> </w:t>
            </w:r>
            <w:r w:rsidR="007A2ABE">
              <w:rPr>
                <w:rFonts w:ascii="Arial" w:hAnsi="Arial" w:cs="Arial"/>
                <w:sz w:val="20"/>
                <w:szCs w:val="20"/>
              </w:rPr>
              <w:t xml:space="preserve">there is </w:t>
            </w:r>
            <w:r w:rsidR="001942B3">
              <w:rPr>
                <w:rFonts w:ascii="Arial" w:hAnsi="Arial" w:cs="Arial"/>
                <w:sz w:val="20"/>
                <w:szCs w:val="20"/>
              </w:rPr>
              <w:t xml:space="preserve">an </w:t>
            </w:r>
            <w:r w:rsidR="007A2ABE">
              <w:rPr>
                <w:rFonts w:ascii="Arial" w:hAnsi="Arial" w:cs="Arial"/>
                <w:sz w:val="20"/>
                <w:szCs w:val="20"/>
              </w:rPr>
              <w:t>‘</w:t>
            </w:r>
            <w:r w:rsidR="001942B3">
              <w:rPr>
                <w:rFonts w:ascii="Arial" w:hAnsi="Arial" w:cs="Arial"/>
                <w:sz w:val="20"/>
                <w:szCs w:val="20"/>
              </w:rPr>
              <w:t>invisible layer</w:t>
            </w:r>
            <w:r w:rsidR="007A2ABE">
              <w:rPr>
                <w:rFonts w:ascii="Arial" w:hAnsi="Arial" w:cs="Arial"/>
                <w:sz w:val="20"/>
                <w:szCs w:val="20"/>
              </w:rPr>
              <w:t>’</w:t>
            </w:r>
            <w:r w:rsidR="001942B3">
              <w:rPr>
                <w:rFonts w:ascii="Arial" w:hAnsi="Arial" w:cs="Arial"/>
                <w:sz w:val="20"/>
                <w:szCs w:val="20"/>
              </w:rPr>
              <w:t xml:space="preserve"> in the assessment system by using 2 or 3 marks for one aggregated mark. </w:t>
            </w:r>
            <w:r w:rsidR="007A2ABE">
              <w:rPr>
                <w:rFonts w:ascii="Arial" w:hAnsi="Arial" w:cs="Arial"/>
                <w:sz w:val="20"/>
                <w:szCs w:val="20"/>
              </w:rPr>
              <w:t>Hence t</w:t>
            </w:r>
            <w:r w:rsidR="001942B3">
              <w:rPr>
                <w:rFonts w:ascii="Arial" w:hAnsi="Arial" w:cs="Arial"/>
                <w:sz w:val="20"/>
                <w:szCs w:val="20"/>
              </w:rPr>
              <w:t>here would be a layer where marks could be below the threshold but would not be visible.</w:t>
            </w:r>
            <w:r w:rsidR="00403E88">
              <w:rPr>
                <w:rFonts w:ascii="Arial" w:hAnsi="Arial" w:cs="Arial"/>
                <w:sz w:val="20"/>
                <w:szCs w:val="20"/>
              </w:rPr>
              <w:t xml:space="preserve"> The </w:t>
            </w:r>
            <w:proofErr w:type="gramStart"/>
            <w:r w:rsidR="00403E88">
              <w:rPr>
                <w:rFonts w:ascii="Arial" w:hAnsi="Arial" w:cs="Arial"/>
                <w:sz w:val="20"/>
                <w:szCs w:val="20"/>
              </w:rPr>
              <w:t>programme of a</w:t>
            </w:r>
            <w:r w:rsidR="00D65FB9">
              <w:rPr>
                <w:rFonts w:ascii="Arial" w:hAnsi="Arial" w:cs="Arial"/>
                <w:sz w:val="20"/>
                <w:szCs w:val="20"/>
              </w:rPr>
              <w:t>ssessment for individual units we</w:t>
            </w:r>
            <w:r w:rsidR="00403E88">
              <w:rPr>
                <w:rFonts w:ascii="Arial" w:hAnsi="Arial" w:cs="Arial"/>
                <w:sz w:val="20"/>
                <w:szCs w:val="20"/>
              </w:rPr>
              <w:t>re</w:t>
            </w:r>
            <w:proofErr w:type="gramEnd"/>
            <w:r w:rsidR="00403E88">
              <w:rPr>
                <w:rFonts w:ascii="Arial" w:hAnsi="Arial" w:cs="Arial"/>
                <w:sz w:val="20"/>
                <w:szCs w:val="20"/>
              </w:rPr>
              <w:t xml:space="preserve"> designed to ensure that students </w:t>
            </w:r>
            <w:r w:rsidR="007A2ABE">
              <w:rPr>
                <w:rFonts w:ascii="Arial" w:hAnsi="Arial" w:cs="Arial"/>
                <w:sz w:val="20"/>
                <w:szCs w:val="20"/>
              </w:rPr>
              <w:t xml:space="preserve">have the opportunity to successfully </w:t>
            </w:r>
            <w:r w:rsidR="00403E88">
              <w:rPr>
                <w:rFonts w:ascii="Arial" w:hAnsi="Arial" w:cs="Arial"/>
                <w:sz w:val="20"/>
                <w:szCs w:val="20"/>
              </w:rPr>
              <w:t xml:space="preserve">complete sufficient assessment to achieve the learning outcomes for the unit. </w:t>
            </w:r>
          </w:p>
          <w:p w:rsidR="001942B3" w:rsidRDefault="001942B3" w:rsidP="001942B3">
            <w:pPr>
              <w:ind w:right="-22"/>
              <w:rPr>
                <w:rFonts w:ascii="Arial" w:hAnsi="Arial" w:cs="Arial"/>
                <w:sz w:val="20"/>
                <w:szCs w:val="20"/>
              </w:rPr>
            </w:pPr>
          </w:p>
        </w:tc>
      </w:tr>
      <w:tr w:rsidR="001942B3" w:rsidTr="00AD2767">
        <w:tc>
          <w:tcPr>
            <w:tcW w:w="939" w:type="dxa"/>
          </w:tcPr>
          <w:p w:rsidR="001942B3" w:rsidRDefault="001942B3">
            <w:pPr>
              <w:rPr>
                <w:rFonts w:ascii="Arial" w:hAnsi="Arial" w:cs="Arial"/>
                <w:sz w:val="22"/>
                <w:szCs w:val="20"/>
              </w:rPr>
            </w:pPr>
            <w:r>
              <w:rPr>
                <w:rFonts w:ascii="Arial" w:hAnsi="Arial" w:cs="Arial"/>
                <w:sz w:val="22"/>
                <w:szCs w:val="20"/>
              </w:rPr>
              <w:t>3.1.12</w:t>
            </w:r>
          </w:p>
        </w:tc>
        <w:tc>
          <w:tcPr>
            <w:tcW w:w="8842" w:type="dxa"/>
            <w:gridSpan w:val="4"/>
          </w:tcPr>
          <w:p w:rsidR="001942B3" w:rsidRDefault="001942B3" w:rsidP="00C30CA1">
            <w:pPr>
              <w:ind w:right="-22"/>
              <w:jc w:val="both"/>
              <w:rPr>
                <w:rFonts w:ascii="Arial" w:hAnsi="Arial" w:cs="Arial"/>
                <w:sz w:val="20"/>
                <w:szCs w:val="20"/>
              </w:rPr>
            </w:pPr>
            <w:r>
              <w:rPr>
                <w:rFonts w:ascii="Arial" w:hAnsi="Arial" w:cs="Arial"/>
                <w:sz w:val="20"/>
                <w:szCs w:val="20"/>
              </w:rPr>
              <w:t xml:space="preserve">Mr James </w:t>
            </w:r>
            <w:r w:rsidR="00C30CA1">
              <w:rPr>
                <w:rFonts w:ascii="Arial" w:hAnsi="Arial" w:cs="Arial"/>
                <w:sz w:val="20"/>
                <w:szCs w:val="20"/>
              </w:rPr>
              <w:t xml:space="preserve">believed </w:t>
            </w:r>
            <w:r>
              <w:rPr>
                <w:rFonts w:ascii="Arial" w:hAnsi="Arial" w:cs="Arial"/>
                <w:sz w:val="20"/>
                <w:szCs w:val="20"/>
              </w:rPr>
              <w:t xml:space="preserve">the University should be focused on helping the student to remain in their cohort </w:t>
            </w:r>
            <w:r w:rsidR="00977DCC">
              <w:rPr>
                <w:rFonts w:ascii="Arial" w:hAnsi="Arial" w:cs="Arial"/>
                <w:sz w:val="20"/>
                <w:szCs w:val="20"/>
              </w:rPr>
              <w:t xml:space="preserve">either with or without attendance </w:t>
            </w:r>
            <w:r>
              <w:rPr>
                <w:rFonts w:ascii="Arial" w:hAnsi="Arial" w:cs="Arial"/>
                <w:sz w:val="20"/>
                <w:szCs w:val="20"/>
              </w:rPr>
              <w:t>and to ensure the University d</w:t>
            </w:r>
            <w:r w:rsidR="00587619">
              <w:rPr>
                <w:rFonts w:ascii="Arial" w:hAnsi="Arial" w:cs="Arial"/>
                <w:sz w:val="20"/>
                <w:szCs w:val="20"/>
              </w:rPr>
              <w:t>id</w:t>
            </w:r>
            <w:r>
              <w:rPr>
                <w:rFonts w:ascii="Arial" w:hAnsi="Arial" w:cs="Arial"/>
                <w:sz w:val="20"/>
                <w:szCs w:val="20"/>
              </w:rPr>
              <w:t xml:space="preserve"> not challenge students financially</w:t>
            </w:r>
            <w:r w:rsidR="00587619">
              <w:rPr>
                <w:rFonts w:ascii="Arial" w:hAnsi="Arial" w:cs="Arial"/>
                <w:sz w:val="20"/>
                <w:szCs w:val="20"/>
              </w:rPr>
              <w:t>,</w:t>
            </w:r>
            <w:r>
              <w:rPr>
                <w:rFonts w:ascii="Arial" w:hAnsi="Arial" w:cs="Arial"/>
                <w:sz w:val="20"/>
                <w:szCs w:val="20"/>
              </w:rPr>
              <w:t xml:space="preserve"> and the implications of this should be looked into further.</w:t>
            </w:r>
            <w:r w:rsidR="00977DCC">
              <w:rPr>
                <w:rFonts w:ascii="Arial" w:hAnsi="Arial" w:cs="Arial"/>
                <w:sz w:val="20"/>
                <w:szCs w:val="20"/>
              </w:rPr>
              <w:t xml:space="preserve"> Dr Main and Dr White both agreed that compensation should only be permitted at Level 4 </w:t>
            </w:r>
            <w:r w:rsidR="00403E88">
              <w:rPr>
                <w:rFonts w:ascii="Arial" w:hAnsi="Arial" w:cs="Arial"/>
                <w:sz w:val="20"/>
                <w:szCs w:val="20"/>
              </w:rPr>
              <w:t>so as to prevent students ent</w:t>
            </w:r>
            <w:r w:rsidR="007A3DEB">
              <w:rPr>
                <w:rFonts w:ascii="Arial" w:hAnsi="Arial" w:cs="Arial"/>
                <w:sz w:val="20"/>
                <w:szCs w:val="20"/>
              </w:rPr>
              <w:t>e</w:t>
            </w:r>
            <w:r w:rsidR="00403E88">
              <w:rPr>
                <w:rFonts w:ascii="Arial" w:hAnsi="Arial" w:cs="Arial"/>
                <w:sz w:val="20"/>
                <w:szCs w:val="20"/>
              </w:rPr>
              <w:t xml:space="preserve">ring a final year of a programme with outstanding Level 4 units. It was noted that Level 4 unit marks do </w:t>
            </w:r>
            <w:r w:rsidR="00977DCC">
              <w:rPr>
                <w:rFonts w:ascii="Arial" w:hAnsi="Arial" w:cs="Arial"/>
                <w:sz w:val="20"/>
                <w:szCs w:val="20"/>
              </w:rPr>
              <w:t>not contribute to a final</w:t>
            </w:r>
            <w:r w:rsidR="007A3DEB">
              <w:rPr>
                <w:rFonts w:ascii="Arial" w:hAnsi="Arial" w:cs="Arial"/>
                <w:sz w:val="20"/>
                <w:szCs w:val="20"/>
              </w:rPr>
              <w:t xml:space="preserve"> </w:t>
            </w:r>
            <w:r w:rsidR="00403E88">
              <w:rPr>
                <w:rFonts w:ascii="Arial" w:hAnsi="Arial" w:cs="Arial"/>
                <w:sz w:val="20"/>
                <w:szCs w:val="20"/>
              </w:rPr>
              <w:t>outcome</w:t>
            </w:r>
            <w:r w:rsidR="00977DCC">
              <w:rPr>
                <w:rFonts w:ascii="Arial" w:hAnsi="Arial" w:cs="Arial"/>
                <w:sz w:val="20"/>
                <w:szCs w:val="20"/>
              </w:rPr>
              <w:t>.</w:t>
            </w:r>
          </w:p>
          <w:p w:rsidR="00977DCC" w:rsidRDefault="00977DCC" w:rsidP="00977DCC">
            <w:pPr>
              <w:ind w:right="-22"/>
              <w:rPr>
                <w:rFonts w:ascii="Arial" w:hAnsi="Arial" w:cs="Arial"/>
                <w:sz w:val="20"/>
                <w:szCs w:val="20"/>
              </w:rPr>
            </w:pPr>
          </w:p>
          <w:p w:rsidR="00767ABF" w:rsidRDefault="00767ABF" w:rsidP="00977DCC">
            <w:pPr>
              <w:ind w:right="-22"/>
              <w:rPr>
                <w:rFonts w:ascii="Arial" w:hAnsi="Arial" w:cs="Arial"/>
                <w:sz w:val="20"/>
                <w:szCs w:val="20"/>
              </w:rPr>
            </w:pPr>
          </w:p>
        </w:tc>
      </w:tr>
      <w:tr w:rsidR="00587619" w:rsidTr="00AD2767">
        <w:tc>
          <w:tcPr>
            <w:tcW w:w="939" w:type="dxa"/>
          </w:tcPr>
          <w:p w:rsidR="00587619" w:rsidRPr="00587619" w:rsidRDefault="006D7CC1">
            <w:pPr>
              <w:rPr>
                <w:rFonts w:ascii="Arial" w:hAnsi="Arial" w:cs="Arial"/>
                <w:sz w:val="20"/>
                <w:szCs w:val="20"/>
              </w:rPr>
            </w:pPr>
            <w:r>
              <w:rPr>
                <w:rFonts w:ascii="Arial" w:hAnsi="Arial" w:cs="Arial"/>
                <w:sz w:val="20"/>
                <w:szCs w:val="20"/>
              </w:rPr>
              <w:lastRenderedPageBreak/>
              <w:t>3.1.13</w:t>
            </w:r>
          </w:p>
        </w:tc>
        <w:tc>
          <w:tcPr>
            <w:tcW w:w="8842" w:type="dxa"/>
            <w:gridSpan w:val="4"/>
          </w:tcPr>
          <w:p w:rsidR="00587619" w:rsidRDefault="00587619" w:rsidP="006D7CC1">
            <w:pPr>
              <w:ind w:right="-22"/>
              <w:jc w:val="both"/>
              <w:rPr>
                <w:rFonts w:ascii="Arial" w:hAnsi="Arial" w:cs="Arial"/>
                <w:sz w:val="20"/>
                <w:szCs w:val="20"/>
              </w:rPr>
            </w:pPr>
            <w:r>
              <w:rPr>
                <w:rFonts w:ascii="Arial" w:hAnsi="Arial" w:cs="Arial"/>
                <w:sz w:val="20"/>
                <w:szCs w:val="20"/>
              </w:rPr>
              <w:t xml:space="preserve">The Committee agreed that the </w:t>
            </w:r>
            <w:r w:rsidR="00CE59B8">
              <w:rPr>
                <w:rFonts w:ascii="Arial" w:hAnsi="Arial" w:cs="Arial"/>
                <w:sz w:val="20"/>
                <w:szCs w:val="20"/>
              </w:rPr>
              <w:t xml:space="preserve">current percentage level associated with the </w:t>
            </w:r>
            <w:r>
              <w:rPr>
                <w:rFonts w:ascii="Arial" w:hAnsi="Arial" w:cs="Arial"/>
                <w:sz w:val="20"/>
                <w:szCs w:val="20"/>
              </w:rPr>
              <w:t xml:space="preserve">University’s compensation regulations may be harsh, </w:t>
            </w:r>
            <w:r w:rsidR="00CE59B8">
              <w:rPr>
                <w:rFonts w:ascii="Arial" w:hAnsi="Arial" w:cs="Arial"/>
                <w:sz w:val="20"/>
                <w:szCs w:val="20"/>
              </w:rPr>
              <w:t xml:space="preserve">and in addition </w:t>
            </w:r>
            <w:r>
              <w:rPr>
                <w:rFonts w:ascii="Arial" w:hAnsi="Arial" w:cs="Arial"/>
                <w:sz w:val="20"/>
                <w:szCs w:val="20"/>
              </w:rPr>
              <w:t xml:space="preserve">the concept of ‘fast-track’, </w:t>
            </w:r>
            <w:r w:rsidR="00CE59B8">
              <w:rPr>
                <w:rFonts w:ascii="Arial" w:hAnsi="Arial" w:cs="Arial"/>
                <w:sz w:val="20"/>
                <w:szCs w:val="20"/>
              </w:rPr>
              <w:t xml:space="preserve">as </w:t>
            </w:r>
            <w:r>
              <w:rPr>
                <w:rFonts w:ascii="Arial" w:hAnsi="Arial" w:cs="Arial"/>
                <w:sz w:val="20"/>
                <w:szCs w:val="20"/>
              </w:rPr>
              <w:t xml:space="preserve">an alternative assessment as an exceptional opportunity </w:t>
            </w:r>
            <w:r w:rsidR="00CE59B8">
              <w:rPr>
                <w:rFonts w:ascii="Arial" w:hAnsi="Arial" w:cs="Arial"/>
                <w:sz w:val="20"/>
                <w:szCs w:val="20"/>
              </w:rPr>
              <w:t>was worthy of further consideration. This would need to take into account whether the unit was taken with or without attendance and the extent to which this impacted on attendance on other units</w:t>
            </w:r>
            <w:r w:rsidR="007A3DEB">
              <w:rPr>
                <w:rFonts w:ascii="Arial" w:hAnsi="Arial" w:cs="Arial"/>
                <w:sz w:val="20"/>
                <w:szCs w:val="20"/>
              </w:rPr>
              <w:t>.</w:t>
            </w:r>
            <w:r w:rsidR="00CE59B8">
              <w:rPr>
                <w:rFonts w:ascii="Arial" w:hAnsi="Arial" w:cs="Arial"/>
                <w:sz w:val="20"/>
                <w:szCs w:val="20"/>
              </w:rPr>
              <w:t xml:space="preserve"> This ‘fast track’ approach was considered </w:t>
            </w:r>
            <w:r>
              <w:rPr>
                <w:rFonts w:ascii="Arial" w:hAnsi="Arial" w:cs="Arial"/>
                <w:sz w:val="20"/>
                <w:szCs w:val="20"/>
              </w:rPr>
              <w:t>less acceptable as students</w:t>
            </w:r>
            <w:r w:rsidR="007A3DEB">
              <w:rPr>
                <w:rFonts w:ascii="Arial" w:hAnsi="Arial" w:cs="Arial"/>
                <w:sz w:val="20"/>
                <w:szCs w:val="20"/>
              </w:rPr>
              <w:t>’</w:t>
            </w:r>
            <w:r>
              <w:rPr>
                <w:rFonts w:ascii="Arial" w:hAnsi="Arial" w:cs="Arial"/>
                <w:sz w:val="20"/>
                <w:szCs w:val="20"/>
              </w:rPr>
              <w:t xml:space="preserve"> progress through their studies</w:t>
            </w:r>
            <w:r w:rsidR="007A3DEB">
              <w:rPr>
                <w:rFonts w:ascii="Arial" w:hAnsi="Arial" w:cs="Arial"/>
                <w:sz w:val="20"/>
                <w:szCs w:val="20"/>
              </w:rPr>
              <w:t>.</w:t>
            </w:r>
            <w:r>
              <w:rPr>
                <w:rFonts w:ascii="Arial" w:hAnsi="Arial" w:cs="Arial"/>
                <w:sz w:val="20"/>
                <w:szCs w:val="20"/>
              </w:rPr>
              <w:t xml:space="preserve"> </w:t>
            </w:r>
          </w:p>
          <w:p w:rsidR="00587619" w:rsidRDefault="00587619" w:rsidP="00643C63">
            <w:pPr>
              <w:ind w:left="720" w:right="-22" w:hanging="720"/>
              <w:jc w:val="both"/>
              <w:rPr>
                <w:rFonts w:ascii="Arial" w:hAnsi="Arial" w:cs="Arial"/>
                <w:b/>
                <w:sz w:val="20"/>
                <w:szCs w:val="20"/>
              </w:rPr>
            </w:pPr>
          </w:p>
        </w:tc>
      </w:tr>
      <w:tr w:rsidR="006D7CC1" w:rsidTr="00AD2767">
        <w:tc>
          <w:tcPr>
            <w:tcW w:w="939" w:type="dxa"/>
          </w:tcPr>
          <w:p w:rsidR="006D7CC1" w:rsidRDefault="006D7CC1">
            <w:pPr>
              <w:rPr>
                <w:rFonts w:ascii="Arial" w:hAnsi="Arial" w:cs="Arial"/>
                <w:sz w:val="20"/>
                <w:szCs w:val="20"/>
              </w:rPr>
            </w:pPr>
            <w:r>
              <w:rPr>
                <w:rFonts w:ascii="Arial" w:hAnsi="Arial" w:cs="Arial"/>
                <w:sz w:val="20"/>
                <w:szCs w:val="20"/>
              </w:rPr>
              <w:t>3.1.14</w:t>
            </w:r>
          </w:p>
        </w:tc>
        <w:tc>
          <w:tcPr>
            <w:tcW w:w="8842" w:type="dxa"/>
            <w:gridSpan w:val="4"/>
          </w:tcPr>
          <w:p w:rsidR="006D7CC1" w:rsidRDefault="006D7CC1" w:rsidP="00587619">
            <w:pPr>
              <w:ind w:right="-22"/>
              <w:jc w:val="both"/>
              <w:rPr>
                <w:rFonts w:ascii="Arial" w:hAnsi="Arial" w:cs="Arial"/>
                <w:sz w:val="20"/>
                <w:szCs w:val="20"/>
              </w:rPr>
            </w:pPr>
            <w:r>
              <w:rPr>
                <w:rFonts w:ascii="Arial" w:hAnsi="Arial" w:cs="Arial"/>
                <w:sz w:val="20"/>
                <w:szCs w:val="20"/>
              </w:rPr>
              <w:t>Prof McIntyre-Bhatty thanked members for their contributions to the discussion and the essence of the dialogue would help inform the debate at Senate on 24 February 2016.</w:t>
            </w:r>
          </w:p>
          <w:p w:rsidR="006D7CC1" w:rsidRDefault="006D7CC1" w:rsidP="00587619">
            <w:pPr>
              <w:ind w:right="-22"/>
              <w:jc w:val="both"/>
              <w:rPr>
                <w:rFonts w:ascii="Arial" w:hAnsi="Arial" w:cs="Arial"/>
                <w:sz w:val="20"/>
                <w:szCs w:val="20"/>
              </w:rPr>
            </w:pPr>
          </w:p>
          <w:p w:rsidR="006D7CC1" w:rsidRDefault="006D7CC1" w:rsidP="00587619">
            <w:pPr>
              <w:ind w:right="-22"/>
              <w:jc w:val="both"/>
              <w:rPr>
                <w:rFonts w:ascii="Arial" w:hAnsi="Arial" w:cs="Arial"/>
                <w:sz w:val="20"/>
                <w:szCs w:val="20"/>
              </w:rPr>
            </w:pPr>
          </w:p>
        </w:tc>
      </w:tr>
      <w:tr w:rsidR="00643C63" w:rsidTr="00AD2767">
        <w:tc>
          <w:tcPr>
            <w:tcW w:w="939" w:type="dxa"/>
          </w:tcPr>
          <w:p w:rsidR="00643C63" w:rsidRDefault="00643C63">
            <w:pPr>
              <w:rPr>
                <w:rFonts w:ascii="Arial" w:hAnsi="Arial" w:cs="Arial"/>
                <w:b/>
                <w:sz w:val="20"/>
                <w:szCs w:val="20"/>
              </w:rPr>
            </w:pPr>
            <w:r>
              <w:rPr>
                <w:rFonts w:ascii="Arial" w:hAnsi="Arial" w:cs="Arial"/>
                <w:b/>
                <w:sz w:val="20"/>
                <w:szCs w:val="20"/>
              </w:rPr>
              <w:t>3.2</w:t>
            </w:r>
          </w:p>
        </w:tc>
        <w:tc>
          <w:tcPr>
            <w:tcW w:w="8842" w:type="dxa"/>
            <w:gridSpan w:val="4"/>
          </w:tcPr>
          <w:p w:rsidR="00643C63" w:rsidRDefault="00643C63" w:rsidP="00643C63">
            <w:pPr>
              <w:ind w:left="720" w:right="-22" w:hanging="720"/>
              <w:jc w:val="both"/>
              <w:rPr>
                <w:rFonts w:ascii="Arial" w:hAnsi="Arial" w:cs="Arial"/>
                <w:sz w:val="20"/>
                <w:szCs w:val="20"/>
              </w:rPr>
            </w:pPr>
            <w:r>
              <w:rPr>
                <w:rFonts w:ascii="Arial" w:hAnsi="Arial" w:cs="Arial"/>
                <w:b/>
                <w:sz w:val="20"/>
                <w:szCs w:val="20"/>
              </w:rPr>
              <w:t xml:space="preserve">Student Population Statistics </w:t>
            </w:r>
            <w:r>
              <w:rPr>
                <w:rFonts w:ascii="Arial" w:hAnsi="Arial" w:cs="Arial"/>
                <w:sz w:val="20"/>
                <w:szCs w:val="20"/>
              </w:rPr>
              <w:t>(ASC-1516-61)</w:t>
            </w:r>
          </w:p>
          <w:p w:rsidR="00643C63" w:rsidRPr="00643C63" w:rsidRDefault="00643C63" w:rsidP="00643C63">
            <w:pPr>
              <w:ind w:left="720" w:right="-22" w:hanging="720"/>
              <w:jc w:val="both"/>
              <w:rPr>
                <w:rFonts w:ascii="Arial" w:hAnsi="Arial" w:cs="Arial"/>
                <w:sz w:val="20"/>
                <w:szCs w:val="20"/>
              </w:rPr>
            </w:pPr>
          </w:p>
        </w:tc>
      </w:tr>
      <w:tr w:rsidR="00DD15BD" w:rsidTr="00AD2767">
        <w:tc>
          <w:tcPr>
            <w:tcW w:w="939" w:type="dxa"/>
          </w:tcPr>
          <w:p w:rsidR="00DD15BD" w:rsidRPr="00DD15BD" w:rsidRDefault="00DD15BD">
            <w:pPr>
              <w:rPr>
                <w:rFonts w:ascii="Arial" w:hAnsi="Arial" w:cs="Arial"/>
                <w:sz w:val="20"/>
                <w:szCs w:val="20"/>
              </w:rPr>
            </w:pPr>
            <w:r>
              <w:rPr>
                <w:rFonts w:ascii="Arial" w:hAnsi="Arial" w:cs="Arial"/>
                <w:sz w:val="20"/>
                <w:szCs w:val="20"/>
              </w:rPr>
              <w:t>3.2.1</w:t>
            </w:r>
          </w:p>
        </w:tc>
        <w:tc>
          <w:tcPr>
            <w:tcW w:w="8842" w:type="dxa"/>
            <w:gridSpan w:val="4"/>
          </w:tcPr>
          <w:p w:rsidR="00DD15BD" w:rsidRPr="00930715" w:rsidRDefault="00930715" w:rsidP="0079578B">
            <w:pPr>
              <w:ind w:right="-22"/>
              <w:jc w:val="both"/>
              <w:rPr>
                <w:rFonts w:ascii="Arial" w:hAnsi="Arial" w:cs="Arial"/>
                <w:b/>
                <w:sz w:val="20"/>
                <w:szCs w:val="20"/>
              </w:rPr>
            </w:pPr>
            <w:r w:rsidRPr="00930715">
              <w:rPr>
                <w:rFonts w:ascii="Arial" w:hAnsi="Arial" w:cs="Arial"/>
                <w:sz w:val="20"/>
                <w:szCs w:val="20"/>
              </w:rPr>
              <w:t>The C</w:t>
            </w:r>
            <w:r>
              <w:rPr>
                <w:rFonts w:ascii="Arial" w:hAnsi="Arial" w:cs="Arial"/>
                <w:sz w:val="20"/>
                <w:szCs w:val="20"/>
              </w:rPr>
              <w:t xml:space="preserve">ontinue/Qualify rate for BU for 2012/13 year of entry was 89.9% and </w:t>
            </w:r>
            <w:r w:rsidR="00587619">
              <w:rPr>
                <w:rFonts w:ascii="Arial" w:hAnsi="Arial" w:cs="Arial"/>
                <w:sz w:val="20"/>
                <w:szCs w:val="20"/>
              </w:rPr>
              <w:t>the Higher Education Statistics Agency’s (</w:t>
            </w:r>
            <w:r>
              <w:rPr>
                <w:rFonts w:ascii="Arial" w:hAnsi="Arial" w:cs="Arial"/>
                <w:sz w:val="20"/>
                <w:szCs w:val="20"/>
              </w:rPr>
              <w:t>HESA</w:t>
            </w:r>
            <w:r w:rsidR="00587619">
              <w:rPr>
                <w:rFonts w:ascii="Arial" w:hAnsi="Arial" w:cs="Arial"/>
                <w:sz w:val="20"/>
                <w:szCs w:val="20"/>
              </w:rPr>
              <w:t>)</w:t>
            </w:r>
            <w:r>
              <w:rPr>
                <w:rFonts w:ascii="Arial" w:hAnsi="Arial" w:cs="Arial"/>
                <w:sz w:val="20"/>
                <w:szCs w:val="20"/>
              </w:rPr>
              <w:t xml:space="preserve"> published Continue/Quality rate for BU for 2012/13 entry was 90.5% (0.6% difference). The University was broadly in line with the sector and </w:t>
            </w:r>
            <w:r w:rsidR="00BE6D42">
              <w:rPr>
                <w:rFonts w:ascii="Arial" w:hAnsi="Arial" w:cs="Arial"/>
                <w:sz w:val="20"/>
                <w:szCs w:val="20"/>
              </w:rPr>
              <w:t xml:space="preserve">the figure </w:t>
            </w:r>
            <w:r>
              <w:rPr>
                <w:rFonts w:ascii="Arial" w:hAnsi="Arial" w:cs="Arial"/>
                <w:sz w:val="20"/>
                <w:szCs w:val="20"/>
              </w:rPr>
              <w:t xml:space="preserve">had been stable for a long period of time. The HESA Performance Indicators for 2013/14 non-continuation would be published later this year, and it was expected that the published figure for Continue/Qualify would show a decrease of c. 0.4% from the 2012/13 figure.    </w:t>
            </w:r>
          </w:p>
        </w:tc>
      </w:tr>
      <w:tr w:rsidR="00DD15BD" w:rsidTr="00AD2767">
        <w:tc>
          <w:tcPr>
            <w:tcW w:w="939" w:type="dxa"/>
          </w:tcPr>
          <w:p w:rsidR="00DD15BD" w:rsidRDefault="00DD15BD">
            <w:pPr>
              <w:rPr>
                <w:rFonts w:ascii="Arial" w:hAnsi="Arial" w:cs="Arial"/>
                <w:sz w:val="20"/>
                <w:szCs w:val="20"/>
              </w:rPr>
            </w:pPr>
          </w:p>
        </w:tc>
        <w:tc>
          <w:tcPr>
            <w:tcW w:w="8842" w:type="dxa"/>
            <w:gridSpan w:val="4"/>
          </w:tcPr>
          <w:p w:rsidR="00DD15BD" w:rsidRPr="00930715" w:rsidRDefault="00DD15BD" w:rsidP="00643C63">
            <w:pPr>
              <w:ind w:left="720" w:right="-22" w:hanging="720"/>
              <w:jc w:val="both"/>
              <w:rPr>
                <w:rFonts w:ascii="Arial" w:hAnsi="Arial" w:cs="Arial"/>
                <w:b/>
                <w:sz w:val="20"/>
                <w:szCs w:val="20"/>
              </w:rPr>
            </w:pPr>
          </w:p>
        </w:tc>
      </w:tr>
      <w:tr w:rsidR="00DD15BD" w:rsidTr="00AD2767">
        <w:tc>
          <w:tcPr>
            <w:tcW w:w="939" w:type="dxa"/>
          </w:tcPr>
          <w:p w:rsidR="00DD15BD" w:rsidRDefault="00930715">
            <w:pPr>
              <w:rPr>
                <w:rFonts w:ascii="Arial" w:hAnsi="Arial" w:cs="Arial"/>
                <w:sz w:val="20"/>
                <w:szCs w:val="20"/>
              </w:rPr>
            </w:pPr>
            <w:r>
              <w:rPr>
                <w:rFonts w:ascii="Arial" w:hAnsi="Arial" w:cs="Arial"/>
                <w:sz w:val="20"/>
                <w:szCs w:val="20"/>
              </w:rPr>
              <w:t>3.2.2</w:t>
            </w:r>
          </w:p>
        </w:tc>
        <w:tc>
          <w:tcPr>
            <w:tcW w:w="8842" w:type="dxa"/>
            <w:gridSpan w:val="4"/>
          </w:tcPr>
          <w:p w:rsidR="002A2B13" w:rsidRDefault="00930715" w:rsidP="002A2B13">
            <w:pPr>
              <w:ind w:right="-22"/>
              <w:jc w:val="both"/>
              <w:rPr>
                <w:rFonts w:ascii="Arial" w:hAnsi="Arial" w:cs="Arial"/>
                <w:sz w:val="20"/>
                <w:szCs w:val="20"/>
              </w:rPr>
            </w:pPr>
            <w:r>
              <w:rPr>
                <w:rFonts w:ascii="Arial" w:hAnsi="Arial" w:cs="Arial"/>
                <w:sz w:val="20"/>
                <w:szCs w:val="20"/>
              </w:rPr>
              <w:t>The School of Combined and Joint Honours and the Faculty of Media &amp; Communication (FMC) had continuation rates of 95.8% and 92.7% respectively, while the Faculty</w:t>
            </w:r>
            <w:r w:rsidR="00587619">
              <w:rPr>
                <w:rFonts w:ascii="Arial" w:hAnsi="Arial" w:cs="Arial"/>
                <w:sz w:val="20"/>
                <w:szCs w:val="20"/>
              </w:rPr>
              <w:t xml:space="preserve"> of M</w:t>
            </w:r>
            <w:r>
              <w:rPr>
                <w:rFonts w:ascii="Arial" w:hAnsi="Arial" w:cs="Arial"/>
                <w:sz w:val="20"/>
                <w:szCs w:val="20"/>
              </w:rPr>
              <w:t>anagement (FM) had a continuation rate of 87.8%.</w:t>
            </w:r>
            <w:r w:rsidR="002A2B13">
              <w:rPr>
                <w:rFonts w:ascii="Arial" w:hAnsi="Arial" w:cs="Arial"/>
                <w:sz w:val="20"/>
                <w:szCs w:val="20"/>
              </w:rPr>
              <w:t xml:space="preserve"> Continue/Qualify rates had now levelled out after a fall following the introduction of full fees</w:t>
            </w:r>
            <w:r w:rsidR="00587619">
              <w:rPr>
                <w:rFonts w:ascii="Arial" w:hAnsi="Arial" w:cs="Arial"/>
                <w:sz w:val="20"/>
                <w:szCs w:val="20"/>
              </w:rPr>
              <w:t>,</w:t>
            </w:r>
            <w:r w:rsidR="002A2B13">
              <w:rPr>
                <w:rFonts w:ascii="Arial" w:hAnsi="Arial" w:cs="Arial"/>
                <w:sz w:val="20"/>
                <w:szCs w:val="20"/>
              </w:rPr>
              <w:t xml:space="preserve"> and sector data for 2012/13 had revealed that the first full year under full fees</w:t>
            </w:r>
            <w:r w:rsidR="00587619">
              <w:rPr>
                <w:rFonts w:ascii="Arial" w:hAnsi="Arial" w:cs="Arial"/>
                <w:sz w:val="20"/>
                <w:szCs w:val="20"/>
              </w:rPr>
              <w:t xml:space="preserve"> had</w:t>
            </w:r>
            <w:r w:rsidR="002A2B13">
              <w:rPr>
                <w:rFonts w:ascii="Arial" w:hAnsi="Arial" w:cs="Arial"/>
                <w:sz w:val="20"/>
                <w:szCs w:val="20"/>
              </w:rPr>
              <w:t xml:space="preserve"> shown a fall of 0.5% from 91.4% in 2011/12, to 90.9% in 2012/13. </w:t>
            </w:r>
          </w:p>
          <w:p w:rsidR="00DD15BD" w:rsidRPr="00930715" w:rsidRDefault="002A2B13" w:rsidP="002A2B13">
            <w:pPr>
              <w:ind w:right="-22"/>
              <w:jc w:val="both"/>
              <w:rPr>
                <w:rFonts w:ascii="Arial" w:hAnsi="Arial" w:cs="Arial"/>
                <w:sz w:val="20"/>
                <w:szCs w:val="20"/>
              </w:rPr>
            </w:pPr>
            <w:r>
              <w:rPr>
                <w:rFonts w:ascii="Arial" w:hAnsi="Arial" w:cs="Arial"/>
                <w:sz w:val="20"/>
                <w:szCs w:val="20"/>
              </w:rPr>
              <w:t xml:space="preserve">   </w:t>
            </w:r>
          </w:p>
        </w:tc>
      </w:tr>
      <w:tr w:rsidR="00930715" w:rsidTr="00AD2767">
        <w:tc>
          <w:tcPr>
            <w:tcW w:w="939" w:type="dxa"/>
          </w:tcPr>
          <w:p w:rsidR="00930715" w:rsidRDefault="002A2B13">
            <w:pPr>
              <w:rPr>
                <w:rFonts w:ascii="Arial" w:hAnsi="Arial" w:cs="Arial"/>
                <w:sz w:val="20"/>
                <w:szCs w:val="20"/>
              </w:rPr>
            </w:pPr>
            <w:r>
              <w:rPr>
                <w:rFonts w:ascii="Arial" w:hAnsi="Arial" w:cs="Arial"/>
                <w:sz w:val="20"/>
                <w:szCs w:val="20"/>
              </w:rPr>
              <w:t>3.2.3</w:t>
            </w:r>
          </w:p>
        </w:tc>
        <w:tc>
          <w:tcPr>
            <w:tcW w:w="8842" w:type="dxa"/>
            <w:gridSpan w:val="4"/>
          </w:tcPr>
          <w:p w:rsidR="00930715" w:rsidRDefault="002A2B13" w:rsidP="00266412">
            <w:pPr>
              <w:ind w:right="-22"/>
              <w:jc w:val="both"/>
              <w:rPr>
                <w:rFonts w:ascii="Arial" w:hAnsi="Arial" w:cs="Arial"/>
                <w:sz w:val="20"/>
                <w:szCs w:val="20"/>
              </w:rPr>
            </w:pPr>
            <w:r>
              <w:rPr>
                <w:rFonts w:ascii="Arial" w:hAnsi="Arial" w:cs="Arial"/>
                <w:sz w:val="20"/>
                <w:szCs w:val="20"/>
              </w:rPr>
              <w:t>The Continue/Qualified figure rose from 82.8% for 2009/10 first degree entrants to 83.7% for 2010/11 entrants, before falling again to 83.0% for 2011/12 entrants. This compared to a 2011/12 HESA sector average of 81.5%. HESA’s modelling of BU’s 2011/12 first degree qualifying rates was 83.9%, which was slightly higher than the observed figure; however the BU figures were based on actual qualifiers rather than a projection. HESA project</w:t>
            </w:r>
            <w:r w:rsidR="00587619">
              <w:rPr>
                <w:rFonts w:ascii="Arial" w:hAnsi="Arial" w:cs="Arial"/>
                <w:sz w:val="20"/>
                <w:szCs w:val="20"/>
              </w:rPr>
              <w:t>ed</w:t>
            </w:r>
            <w:r>
              <w:rPr>
                <w:rFonts w:ascii="Arial" w:hAnsi="Arial" w:cs="Arial"/>
                <w:sz w:val="20"/>
                <w:szCs w:val="20"/>
              </w:rPr>
              <w:t xml:space="preserve"> a figure of 81.2% for BU’s 2012/13 entrants which would be a</w:t>
            </w:r>
            <w:r w:rsidR="00266412">
              <w:rPr>
                <w:rFonts w:ascii="Arial" w:hAnsi="Arial" w:cs="Arial"/>
                <w:sz w:val="20"/>
                <w:szCs w:val="20"/>
              </w:rPr>
              <w:t xml:space="preserve"> c. 2% fall in </w:t>
            </w:r>
            <w:r w:rsidR="00BE6D42">
              <w:rPr>
                <w:rFonts w:ascii="Arial" w:hAnsi="Arial" w:cs="Arial"/>
                <w:sz w:val="20"/>
                <w:szCs w:val="20"/>
              </w:rPr>
              <w:t xml:space="preserve">the </w:t>
            </w:r>
            <w:r w:rsidR="00266412">
              <w:rPr>
                <w:rFonts w:ascii="Arial" w:hAnsi="Arial" w:cs="Arial"/>
                <w:sz w:val="20"/>
                <w:szCs w:val="20"/>
              </w:rPr>
              <w:t xml:space="preserve">qualifying rate. Dr Sheridan advised that he was in the process of setting up a planning database to look at the nature of HESA’s information.  It was noted that since the introduction of Faculties at BU, the outcomes </w:t>
            </w:r>
            <w:r w:rsidR="00587619">
              <w:rPr>
                <w:rFonts w:ascii="Arial" w:hAnsi="Arial" w:cs="Arial"/>
                <w:sz w:val="20"/>
                <w:szCs w:val="20"/>
              </w:rPr>
              <w:t>for</w:t>
            </w:r>
            <w:r w:rsidR="00266412">
              <w:rPr>
                <w:rFonts w:ascii="Arial" w:hAnsi="Arial" w:cs="Arial"/>
                <w:sz w:val="20"/>
                <w:szCs w:val="20"/>
              </w:rPr>
              <w:t xml:space="preserve"> Faculties were much close</w:t>
            </w:r>
            <w:r w:rsidR="00587619">
              <w:rPr>
                <w:rFonts w:ascii="Arial" w:hAnsi="Arial" w:cs="Arial"/>
                <w:sz w:val="20"/>
                <w:szCs w:val="20"/>
              </w:rPr>
              <w:t>r</w:t>
            </w:r>
            <w:r w:rsidR="00266412">
              <w:rPr>
                <w:rFonts w:ascii="Arial" w:hAnsi="Arial" w:cs="Arial"/>
                <w:sz w:val="20"/>
                <w:szCs w:val="20"/>
              </w:rPr>
              <w:t xml:space="preserve"> together than School figures had been historically.    </w:t>
            </w:r>
            <w:r>
              <w:rPr>
                <w:rFonts w:ascii="Arial" w:hAnsi="Arial" w:cs="Arial"/>
                <w:sz w:val="20"/>
                <w:szCs w:val="20"/>
              </w:rPr>
              <w:t xml:space="preserve"> </w:t>
            </w:r>
          </w:p>
          <w:p w:rsidR="00266412" w:rsidRPr="002A2B13" w:rsidRDefault="00266412" w:rsidP="00266412">
            <w:pPr>
              <w:ind w:right="-22"/>
              <w:jc w:val="both"/>
              <w:rPr>
                <w:rFonts w:ascii="Arial" w:hAnsi="Arial" w:cs="Arial"/>
                <w:sz w:val="20"/>
                <w:szCs w:val="20"/>
              </w:rPr>
            </w:pPr>
          </w:p>
        </w:tc>
      </w:tr>
      <w:tr w:rsidR="00930715" w:rsidTr="00AD2767">
        <w:tc>
          <w:tcPr>
            <w:tcW w:w="939" w:type="dxa"/>
          </w:tcPr>
          <w:p w:rsidR="00930715" w:rsidRDefault="00266412">
            <w:pPr>
              <w:rPr>
                <w:rFonts w:ascii="Arial" w:hAnsi="Arial" w:cs="Arial"/>
                <w:sz w:val="20"/>
                <w:szCs w:val="20"/>
              </w:rPr>
            </w:pPr>
            <w:r>
              <w:rPr>
                <w:rFonts w:ascii="Arial" w:hAnsi="Arial" w:cs="Arial"/>
                <w:sz w:val="20"/>
                <w:szCs w:val="20"/>
              </w:rPr>
              <w:t>3.2.4</w:t>
            </w:r>
          </w:p>
          <w:p w:rsidR="00266412" w:rsidRDefault="00266412">
            <w:pPr>
              <w:rPr>
                <w:rFonts w:ascii="Arial" w:hAnsi="Arial" w:cs="Arial"/>
                <w:sz w:val="20"/>
                <w:szCs w:val="20"/>
              </w:rPr>
            </w:pPr>
          </w:p>
        </w:tc>
        <w:tc>
          <w:tcPr>
            <w:tcW w:w="8842" w:type="dxa"/>
            <w:gridSpan w:val="4"/>
          </w:tcPr>
          <w:p w:rsidR="00930715" w:rsidRDefault="00BE6D42" w:rsidP="00266412">
            <w:pPr>
              <w:ind w:right="-22"/>
              <w:jc w:val="both"/>
              <w:rPr>
                <w:rFonts w:ascii="Arial" w:hAnsi="Arial" w:cs="Arial"/>
                <w:sz w:val="20"/>
                <w:szCs w:val="20"/>
              </w:rPr>
            </w:pPr>
            <w:r>
              <w:rPr>
                <w:rFonts w:ascii="Arial" w:hAnsi="Arial" w:cs="Arial"/>
                <w:sz w:val="20"/>
                <w:szCs w:val="20"/>
              </w:rPr>
              <w:t xml:space="preserve">A consideration of </w:t>
            </w:r>
            <w:r w:rsidR="00266412">
              <w:rPr>
                <w:rFonts w:ascii="Arial" w:hAnsi="Arial" w:cs="Arial"/>
                <w:sz w:val="20"/>
                <w:szCs w:val="20"/>
              </w:rPr>
              <w:t>ALS students</w:t>
            </w:r>
            <w:r>
              <w:rPr>
                <w:rFonts w:ascii="Arial" w:hAnsi="Arial" w:cs="Arial"/>
                <w:sz w:val="20"/>
                <w:szCs w:val="20"/>
              </w:rPr>
              <w:t xml:space="preserve"> found that</w:t>
            </w:r>
            <w:r w:rsidR="00266412">
              <w:rPr>
                <w:rFonts w:ascii="Arial" w:hAnsi="Arial" w:cs="Arial"/>
                <w:sz w:val="20"/>
                <w:szCs w:val="20"/>
              </w:rPr>
              <w:t xml:space="preserve"> the final outcome figures had been comparable for ALS and non-ALS students for many years (within 1.2% in each year).  For 2011/12 entrants, the continue/qualify rate after four years was just under 79.7% for ALS students and 83.6% for non-ALS students.  The proportion of ALS students awarded a First Class or Upper Second Class degree had been slightly lower than for non-ALS students. In 2014/15, 72.9% of ALS students received these degree classifications compared to 78.5% of non-ALS students. </w:t>
            </w:r>
            <w:r w:rsidR="00C65A31">
              <w:rPr>
                <w:rFonts w:ascii="Arial" w:hAnsi="Arial" w:cs="Arial"/>
                <w:sz w:val="20"/>
                <w:szCs w:val="20"/>
              </w:rPr>
              <w:t>Dr Sheridan agreed to carry out a further analysis of non-continuation rates, broken down by ALS categories and the date students left the University.</w:t>
            </w:r>
            <w:r w:rsidR="00266412">
              <w:rPr>
                <w:rFonts w:ascii="Arial" w:hAnsi="Arial" w:cs="Arial"/>
                <w:sz w:val="20"/>
                <w:szCs w:val="20"/>
              </w:rPr>
              <w:t xml:space="preserve">  </w:t>
            </w:r>
          </w:p>
          <w:p w:rsidR="00C65A31" w:rsidRDefault="00C65A31" w:rsidP="00C65A31">
            <w:pPr>
              <w:ind w:right="-22"/>
              <w:jc w:val="right"/>
              <w:rPr>
                <w:rFonts w:ascii="Arial" w:hAnsi="Arial" w:cs="Arial"/>
                <w:b/>
                <w:sz w:val="20"/>
                <w:szCs w:val="20"/>
              </w:rPr>
            </w:pPr>
            <w:r>
              <w:rPr>
                <w:rFonts w:ascii="Arial" w:hAnsi="Arial" w:cs="Arial"/>
                <w:b/>
                <w:sz w:val="20"/>
                <w:szCs w:val="20"/>
              </w:rPr>
              <w:t>Action:  LS</w:t>
            </w:r>
          </w:p>
          <w:p w:rsidR="00C65A31" w:rsidRPr="00C65A31" w:rsidRDefault="00C65A31" w:rsidP="00C65A31">
            <w:pPr>
              <w:ind w:right="-22"/>
              <w:jc w:val="right"/>
              <w:rPr>
                <w:rFonts w:ascii="Arial" w:hAnsi="Arial" w:cs="Arial"/>
                <w:sz w:val="20"/>
                <w:szCs w:val="20"/>
              </w:rPr>
            </w:pPr>
          </w:p>
        </w:tc>
      </w:tr>
      <w:tr w:rsidR="00266412" w:rsidTr="00AD2767">
        <w:tc>
          <w:tcPr>
            <w:tcW w:w="939" w:type="dxa"/>
          </w:tcPr>
          <w:p w:rsidR="00266412" w:rsidRDefault="00C65A31">
            <w:pPr>
              <w:rPr>
                <w:rFonts w:ascii="Arial" w:hAnsi="Arial" w:cs="Arial"/>
                <w:sz w:val="20"/>
                <w:szCs w:val="20"/>
              </w:rPr>
            </w:pPr>
            <w:r>
              <w:rPr>
                <w:rFonts w:ascii="Arial" w:hAnsi="Arial" w:cs="Arial"/>
                <w:sz w:val="20"/>
                <w:szCs w:val="20"/>
              </w:rPr>
              <w:t>3.2.5</w:t>
            </w:r>
          </w:p>
        </w:tc>
        <w:tc>
          <w:tcPr>
            <w:tcW w:w="8842" w:type="dxa"/>
            <w:gridSpan w:val="4"/>
          </w:tcPr>
          <w:p w:rsidR="00767ABF" w:rsidRDefault="00C65A31" w:rsidP="00C65A31">
            <w:pPr>
              <w:ind w:right="-22"/>
              <w:jc w:val="both"/>
              <w:rPr>
                <w:rFonts w:ascii="Arial" w:hAnsi="Arial" w:cs="Arial"/>
                <w:sz w:val="20"/>
                <w:szCs w:val="20"/>
              </w:rPr>
            </w:pPr>
            <w:r>
              <w:rPr>
                <w:rFonts w:ascii="Arial" w:hAnsi="Arial" w:cs="Arial"/>
                <w:sz w:val="20"/>
                <w:szCs w:val="20"/>
              </w:rPr>
              <w:t xml:space="preserve">Members noted that FHSS have many students who do not recognise </w:t>
            </w:r>
            <w:r w:rsidR="00BE6D42">
              <w:rPr>
                <w:rFonts w:ascii="Arial" w:hAnsi="Arial" w:cs="Arial"/>
                <w:sz w:val="20"/>
                <w:szCs w:val="20"/>
              </w:rPr>
              <w:t>that they may have additional learning requirements;</w:t>
            </w:r>
            <w:r w:rsidR="007A3DEB">
              <w:rPr>
                <w:rFonts w:ascii="Arial" w:hAnsi="Arial" w:cs="Arial"/>
                <w:sz w:val="20"/>
                <w:szCs w:val="20"/>
              </w:rPr>
              <w:t xml:space="preserve"> </w:t>
            </w:r>
            <w:r>
              <w:rPr>
                <w:rFonts w:ascii="Arial" w:hAnsi="Arial" w:cs="Arial"/>
                <w:sz w:val="20"/>
                <w:szCs w:val="20"/>
              </w:rPr>
              <w:t xml:space="preserve">it was important that the University identifies these students as early as possible </w:t>
            </w:r>
            <w:r w:rsidR="007A3DEB">
              <w:rPr>
                <w:rFonts w:ascii="Arial" w:hAnsi="Arial" w:cs="Arial"/>
                <w:sz w:val="20"/>
                <w:szCs w:val="20"/>
              </w:rPr>
              <w:t xml:space="preserve">so that </w:t>
            </w:r>
            <w:r>
              <w:rPr>
                <w:rFonts w:ascii="Arial" w:hAnsi="Arial" w:cs="Arial"/>
                <w:sz w:val="20"/>
                <w:szCs w:val="20"/>
              </w:rPr>
              <w:t xml:space="preserve">as much assistance as possible </w:t>
            </w:r>
            <w:r w:rsidR="00BE6D42">
              <w:rPr>
                <w:rFonts w:ascii="Arial" w:hAnsi="Arial" w:cs="Arial"/>
                <w:sz w:val="20"/>
                <w:szCs w:val="20"/>
              </w:rPr>
              <w:t>to</w:t>
            </w:r>
            <w:r>
              <w:rPr>
                <w:rFonts w:ascii="Arial" w:hAnsi="Arial" w:cs="Arial"/>
                <w:sz w:val="20"/>
                <w:szCs w:val="20"/>
              </w:rPr>
              <w:t xml:space="preserve"> be given.  Dr Bobeva suggested that the data for ALS students be presented at a stacked bar chart moving forward so that the proportion of first year ALS students to second year ALS students</w:t>
            </w:r>
            <w:r w:rsidR="00587619">
              <w:rPr>
                <w:rFonts w:ascii="Arial" w:hAnsi="Arial" w:cs="Arial"/>
                <w:sz w:val="20"/>
                <w:szCs w:val="20"/>
              </w:rPr>
              <w:t>,</w:t>
            </w:r>
            <w:r>
              <w:rPr>
                <w:rFonts w:ascii="Arial" w:hAnsi="Arial" w:cs="Arial"/>
                <w:sz w:val="20"/>
                <w:szCs w:val="20"/>
              </w:rPr>
              <w:t xml:space="preserve"> and non-ALS students could be seen clearly.  </w:t>
            </w:r>
          </w:p>
          <w:p w:rsidR="00C65A31" w:rsidRPr="00C65A31" w:rsidRDefault="00C65A31" w:rsidP="00C65A31">
            <w:pPr>
              <w:ind w:right="-22"/>
              <w:jc w:val="both"/>
              <w:rPr>
                <w:rFonts w:ascii="Arial" w:hAnsi="Arial" w:cs="Arial"/>
                <w:sz w:val="20"/>
                <w:szCs w:val="20"/>
              </w:rPr>
            </w:pPr>
            <w:r>
              <w:rPr>
                <w:rFonts w:ascii="Arial" w:hAnsi="Arial" w:cs="Arial"/>
                <w:sz w:val="20"/>
                <w:szCs w:val="20"/>
              </w:rPr>
              <w:t xml:space="preserve"> </w:t>
            </w:r>
          </w:p>
        </w:tc>
      </w:tr>
      <w:tr w:rsidR="00266412" w:rsidTr="00AD2767">
        <w:tc>
          <w:tcPr>
            <w:tcW w:w="939" w:type="dxa"/>
          </w:tcPr>
          <w:p w:rsidR="00266412" w:rsidRDefault="00C65A31">
            <w:pPr>
              <w:rPr>
                <w:rFonts w:ascii="Arial" w:hAnsi="Arial" w:cs="Arial"/>
                <w:sz w:val="20"/>
                <w:szCs w:val="20"/>
              </w:rPr>
            </w:pPr>
            <w:r>
              <w:rPr>
                <w:rFonts w:ascii="Arial" w:hAnsi="Arial" w:cs="Arial"/>
                <w:sz w:val="20"/>
                <w:szCs w:val="20"/>
              </w:rPr>
              <w:t>3.2.6</w:t>
            </w:r>
          </w:p>
        </w:tc>
        <w:tc>
          <w:tcPr>
            <w:tcW w:w="8842" w:type="dxa"/>
            <w:gridSpan w:val="4"/>
          </w:tcPr>
          <w:p w:rsidR="00266412" w:rsidRDefault="00F72CE8" w:rsidP="003F3CA1">
            <w:pPr>
              <w:ind w:right="-22"/>
              <w:jc w:val="both"/>
              <w:rPr>
                <w:rFonts w:ascii="Arial" w:hAnsi="Arial" w:cs="Arial"/>
                <w:sz w:val="20"/>
                <w:szCs w:val="20"/>
              </w:rPr>
            </w:pPr>
            <w:r>
              <w:rPr>
                <w:rFonts w:ascii="Arial" w:hAnsi="Arial" w:cs="Arial"/>
                <w:sz w:val="20"/>
                <w:szCs w:val="20"/>
              </w:rPr>
              <w:t>T</w:t>
            </w:r>
            <w:r w:rsidR="00C65A31">
              <w:rPr>
                <w:rFonts w:ascii="Arial" w:hAnsi="Arial" w:cs="Arial"/>
                <w:sz w:val="20"/>
                <w:szCs w:val="20"/>
              </w:rPr>
              <w:t>he proportion of First and Upper Second Class degrees had risen from 71.6% in 2012/13 to 77.6% in 2014/15</w:t>
            </w:r>
            <w:r w:rsidR="00D34BE1">
              <w:rPr>
                <w:rFonts w:ascii="Arial" w:hAnsi="Arial" w:cs="Arial"/>
                <w:sz w:val="20"/>
                <w:szCs w:val="20"/>
              </w:rPr>
              <w:t xml:space="preserve">, which was </w:t>
            </w:r>
            <w:r>
              <w:rPr>
                <w:rFonts w:ascii="Arial" w:hAnsi="Arial" w:cs="Arial"/>
                <w:sz w:val="20"/>
                <w:szCs w:val="20"/>
              </w:rPr>
              <w:t>in line with</w:t>
            </w:r>
            <w:r w:rsidR="007A3DEB">
              <w:rPr>
                <w:rFonts w:ascii="Arial" w:hAnsi="Arial" w:cs="Arial"/>
                <w:sz w:val="20"/>
                <w:szCs w:val="20"/>
              </w:rPr>
              <w:t xml:space="preserve"> the sect</w:t>
            </w:r>
            <w:r w:rsidR="00D34BE1">
              <w:rPr>
                <w:rFonts w:ascii="Arial" w:hAnsi="Arial" w:cs="Arial"/>
                <w:sz w:val="20"/>
                <w:szCs w:val="20"/>
              </w:rPr>
              <w:t>or</w:t>
            </w:r>
            <w:r w:rsidR="00C65A31">
              <w:rPr>
                <w:rFonts w:ascii="Arial" w:hAnsi="Arial" w:cs="Arial"/>
                <w:sz w:val="20"/>
                <w:szCs w:val="20"/>
              </w:rPr>
              <w:t xml:space="preserve">. The proportion of First Class degrees rose by 1.3% from 15.0% in 2013/14 to 16.3% in 2014/15.  Upper Second Class degrees </w:t>
            </w:r>
            <w:r w:rsidR="00587619">
              <w:rPr>
                <w:rFonts w:ascii="Arial" w:hAnsi="Arial" w:cs="Arial"/>
                <w:sz w:val="20"/>
                <w:szCs w:val="20"/>
              </w:rPr>
              <w:t>had remained</w:t>
            </w:r>
            <w:r w:rsidR="00C65A31">
              <w:rPr>
                <w:rFonts w:ascii="Arial" w:hAnsi="Arial" w:cs="Arial"/>
                <w:sz w:val="20"/>
                <w:szCs w:val="20"/>
              </w:rPr>
              <w:t xml:space="preserve"> static (61.5% in 2013/14 and 61.3% in 2014/15), while Lower Second Class degrees fell from 21.4% in 2013/14 to 20.4% in 2014/15.  </w:t>
            </w:r>
          </w:p>
          <w:p w:rsidR="00C56734" w:rsidRPr="00C65A31" w:rsidRDefault="00C56734" w:rsidP="003F3CA1">
            <w:pPr>
              <w:ind w:right="-22"/>
              <w:jc w:val="both"/>
              <w:rPr>
                <w:rFonts w:ascii="Arial" w:hAnsi="Arial" w:cs="Arial"/>
                <w:sz w:val="20"/>
                <w:szCs w:val="20"/>
              </w:rPr>
            </w:pPr>
          </w:p>
        </w:tc>
      </w:tr>
      <w:tr w:rsidR="00C65A31" w:rsidTr="00AD2767">
        <w:tc>
          <w:tcPr>
            <w:tcW w:w="939" w:type="dxa"/>
          </w:tcPr>
          <w:p w:rsidR="00C65A31" w:rsidRDefault="00D34BE1">
            <w:pPr>
              <w:rPr>
                <w:rFonts w:ascii="Arial" w:hAnsi="Arial" w:cs="Arial"/>
                <w:sz w:val="20"/>
                <w:szCs w:val="20"/>
              </w:rPr>
            </w:pPr>
            <w:r>
              <w:rPr>
                <w:rFonts w:ascii="Arial" w:hAnsi="Arial" w:cs="Arial"/>
                <w:sz w:val="20"/>
                <w:szCs w:val="20"/>
              </w:rPr>
              <w:t>3.2.7</w:t>
            </w:r>
          </w:p>
        </w:tc>
        <w:tc>
          <w:tcPr>
            <w:tcW w:w="8842" w:type="dxa"/>
            <w:gridSpan w:val="4"/>
          </w:tcPr>
          <w:p w:rsidR="00B8285E" w:rsidRDefault="00D34BE1" w:rsidP="00D34BE1">
            <w:pPr>
              <w:ind w:right="-22"/>
              <w:jc w:val="both"/>
              <w:rPr>
                <w:rFonts w:ascii="Arial" w:hAnsi="Arial" w:cs="Arial"/>
                <w:sz w:val="20"/>
                <w:szCs w:val="20"/>
              </w:rPr>
            </w:pPr>
            <w:r>
              <w:rPr>
                <w:rFonts w:ascii="Arial" w:hAnsi="Arial" w:cs="Arial"/>
                <w:sz w:val="20"/>
                <w:szCs w:val="20"/>
              </w:rPr>
              <w:t xml:space="preserve">Following an analysis of the </w:t>
            </w:r>
            <w:r w:rsidR="00587619" w:rsidRPr="00587619">
              <w:rPr>
                <w:rStyle w:val="Strong"/>
                <w:rFonts w:ascii="Arial" w:hAnsi="Arial" w:cs="Arial"/>
                <w:b w:val="0"/>
                <w:sz w:val="20"/>
                <w:szCs w:val="20"/>
                <w:lang w:val="en"/>
              </w:rPr>
              <w:t>Universities and Colleges Admissions Service</w:t>
            </w:r>
            <w:r w:rsidR="00587619" w:rsidRPr="00587619">
              <w:rPr>
                <w:rFonts w:ascii="Arial" w:hAnsi="Arial" w:cs="Arial"/>
                <w:b/>
                <w:sz w:val="20"/>
                <w:szCs w:val="20"/>
                <w:lang w:val="en"/>
              </w:rPr>
              <w:t xml:space="preserve"> </w:t>
            </w:r>
            <w:r w:rsidR="00587619" w:rsidRPr="00587619">
              <w:rPr>
                <w:rFonts w:ascii="Arial" w:hAnsi="Arial" w:cs="Arial"/>
                <w:sz w:val="20"/>
                <w:szCs w:val="20"/>
                <w:lang w:val="en"/>
              </w:rPr>
              <w:t>(</w:t>
            </w:r>
            <w:r>
              <w:rPr>
                <w:rFonts w:ascii="Arial" w:hAnsi="Arial" w:cs="Arial"/>
                <w:sz w:val="20"/>
                <w:szCs w:val="20"/>
              </w:rPr>
              <w:t>UCAS</w:t>
            </w:r>
            <w:r w:rsidR="00587619">
              <w:rPr>
                <w:rFonts w:ascii="Arial" w:hAnsi="Arial" w:cs="Arial"/>
                <w:sz w:val="20"/>
                <w:szCs w:val="20"/>
              </w:rPr>
              <w:t>)</w:t>
            </w:r>
            <w:r>
              <w:rPr>
                <w:rFonts w:ascii="Arial" w:hAnsi="Arial" w:cs="Arial"/>
                <w:sz w:val="20"/>
                <w:szCs w:val="20"/>
              </w:rPr>
              <w:t xml:space="preserve"> tariff points on entry and the honour</w:t>
            </w:r>
            <w:r w:rsidR="003F3CA1">
              <w:rPr>
                <w:rFonts w:ascii="Arial" w:hAnsi="Arial" w:cs="Arial"/>
                <w:sz w:val="20"/>
                <w:szCs w:val="20"/>
              </w:rPr>
              <w:t>s</w:t>
            </w:r>
            <w:r>
              <w:rPr>
                <w:rFonts w:ascii="Arial" w:hAnsi="Arial" w:cs="Arial"/>
                <w:sz w:val="20"/>
                <w:szCs w:val="20"/>
              </w:rPr>
              <w:t xml:space="preserve"> classification for graduating first degree students with a tariff score, this had shown a</w:t>
            </w:r>
            <w:r w:rsidR="003F3CA1">
              <w:rPr>
                <w:rFonts w:ascii="Arial" w:hAnsi="Arial" w:cs="Arial"/>
                <w:sz w:val="20"/>
                <w:szCs w:val="20"/>
              </w:rPr>
              <w:t>n apparent</w:t>
            </w:r>
            <w:r>
              <w:rPr>
                <w:rFonts w:ascii="Arial" w:hAnsi="Arial" w:cs="Arial"/>
                <w:sz w:val="20"/>
                <w:szCs w:val="20"/>
              </w:rPr>
              <w:t xml:space="preserve"> relationship between the degree </w:t>
            </w:r>
            <w:proofErr w:type="gramStart"/>
            <w:r>
              <w:rPr>
                <w:rFonts w:ascii="Arial" w:hAnsi="Arial" w:cs="Arial"/>
                <w:sz w:val="20"/>
                <w:szCs w:val="20"/>
              </w:rPr>
              <w:t>classification</w:t>
            </w:r>
            <w:proofErr w:type="gramEnd"/>
            <w:r>
              <w:rPr>
                <w:rFonts w:ascii="Arial" w:hAnsi="Arial" w:cs="Arial"/>
                <w:sz w:val="20"/>
                <w:szCs w:val="20"/>
              </w:rPr>
              <w:t xml:space="preserve"> awarded and tariff points on entry for those students. In 2014/15, mean tariff points per award classification rose across all </w:t>
            </w:r>
            <w:r>
              <w:rPr>
                <w:rFonts w:ascii="Arial" w:hAnsi="Arial" w:cs="Arial"/>
                <w:sz w:val="20"/>
                <w:szCs w:val="20"/>
              </w:rPr>
              <w:lastRenderedPageBreak/>
              <w:t xml:space="preserve">degree classifications. The rise in tariff points was much larger for lower degree classifications, so that the average tariff score for a graduate with a 2:2 rose by 18 points between 2013/14 and 2014/15, whilst the average tariff score of a student graduating with a First rose only by 2 points.  This showed that the </w:t>
            </w:r>
            <w:r w:rsidR="003F3CA1">
              <w:rPr>
                <w:rFonts w:ascii="Arial" w:hAnsi="Arial" w:cs="Arial"/>
                <w:sz w:val="20"/>
                <w:szCs w:val="20"/>
              </w:rPr>
              <w:t xml:space="preserve">apparent </w:t>
            </w:r>
            <w:r>
              <w:rPr>
                <w:rFonts w:ascii="Arial" w:hAnsi="Arial" w:cs="Arial"/>
                <w:sz w:val="20"/>
                <w:szCs w:val="20"/>
              </w:rPr>
              <w:t xml:space="preserve">relationship between tariff points on entry and honours classification was much less marked </w:t>
            </w:r>
            <w:r w:rsidR="00D404F2">
              <w:rPr>
                <w:rFonts w:ascii="Arial" w:hAnsi="Arial" w:cs="Arial"/>
                <w:sz w:val="20"/>
                <w:szCs w:val="20"/>
              </w:rPr>
              <w:t xml:space="preserve">than in previous years </w:t>
            </w:r>
            <w:r w:rsidR="003F3CA1">
              <w:rPr>
                <w:rFonts w:ascii="Arial" w:hAnsi="Arial" w:cs="Arial"/>
                <w:sz w:val="20"/>
                <w:szCs w:val="20"/>
              </w:rPr>
              <w:t xml:space="preserve">and had </w:t>
            </w:r>
            <w:r w:rsidR="00D404F2">
              <w:rPr>
                <w:rFonts w:ascii="Arial" w:hAnsi="Arial" w:cs="Arial"/>
                <w:sz w:val="20"/>
                <w:szCs w:val="20"/>
              </w:rPr>
              <w:t xml:space="preserve">in fact </w:t>
            </w:r>
            <w:r w:rsidR="003F3CA1">
              <w:rPr>
                <w:rFonts w:ascii="Arial" w:hAnsi="Arial" w:cs="Arial"/>
                <w:sz w:val="20"/>
                <w:szCs w:val="20"/>
              </w:rPr>
              <w:t xml:space="preserve">broken-down </w:t>
            </w:r>
            <w:r>
              <w:rPr>
                <w:rFonts w:ascii="Arial" w:hAnsi="Arial" w:cs="Arial"/>
                <w:sz w:val="20"/>
                <w:szCs w:val="20"/>
              </w:rPr>
              <w:t>in 2014/15.</w:t>
            </w:r>
            <w:r w:rsidR="00B8285E">
              <w:rPr>
                <w:rFonts w:ascii="Arial" w:hAnsi="Arial" w:cs="Arial"/>
                <w:sz w:val="20"/>
                <w:szCs w:val="20"/>
              </w:rPr>
              <w:t xml:space="preserve"> Dr Sheridan agreed to carry out an analysis of tariff points for withdrawals </w:t>
            </w:r>
            <w:proofErr w:type="spellStart"/>
            <w:r w:rsidR="00B8285E">
              <w:rPr>
                <w:rFonts w:ascii="Arial" w:hAnsi="Arial" w:cs="Arial"/>
                <w:sz w:val="20"/>
                <w:szCs w:val="20"/>
              </w:rPr>
              <w:t>vs</w:t>
            </w:r>
            <w:proofErr w:type="spellEnd"/>
            <w:r w:rsidR="00B8285E">
              <w:rPr>
                <w:rFonts w:ascii="Arial" w:hAnsi="Arial" w:cs="Arial"/>
                <w:sz w:val="20"/>
                <w:szCs w:val="20"/>
              </w:rPr>
              <w:t xml:space="preserve"> continuing/qualifying students.</w:t>
            </w:r>
          </w:p>
          <w:p w:rsidR="00D34BE1" w:rsidRDefault="00B8285E" w:rsidP="00B8285E">
            <w:pPr>
              <w:ind w:right="-22"/>
              <w:jc w:val="right"/>
              <w:rPr>
                <w:rFonts w:ascii="Arial" w:hAnsi="Arial" w:cs="Arial"/>
                <w:sz w:val="20"/>
                <w:szCs w:val="20"/>
              </w:rPr>
            </w:pPr>
            <w:r>
              <w:rPr>
                <w:rFonts w:ascii="Arial" w:hAnsi="Arial" w:cs="Arial"/>
                <w:b/>
                <w:sz w:val="20"/>
                <w:szCs w:val="20"/>
              </w:rPr>
              <w:t>Action:  LS</w:t>
            </w:r>
            <w:r w:rsidR="00D34BE1">
              <w:rPr>
                <w:rFonts w:ascii="Arial" w:hAnsi="Arial" w:cs="Arial"/>
                <w:sz w:val="20"/>
                <w:szCs w:val="20"/>
              </w:rPr>
              <w:t xml:space="preserve"> </w:t>
            </w:r>
          </w:p>
          <w:p w:rsidR="00C65A31" w:rsidRPr="00D34BE1" w:rsidRDefault="00D34BE1" w:rsidP="00D34BE1">
            <w:pPr>
              <w:ind w:right="-22"/>
              <w:jc w:val="both"/>
              <w:rPr>
                <w:rFonts w:ascii="Arial" w:hAnsi="Arial" w:cs="Arial"/>
                <w:sz w:val="20"/>
                <w:szCs w:val="20"/>
              </w:rPr>
            </w:pPr>
            <w:r>
              <w:rPr>
                <w:rFonts w:ascii="Arial" w:hAnsi="Arial" w:cs="Arial"/>
                <w:sz w:val="20"/>
                <w:szCs w:val="20"/>
              </w:rPr>
              <w:t xml:space="preserve"> </w:t>
            </w:r>
          </w:p>
        </w:tc>
      </w:tr>
      <w:tr w:rsidR="00D34BE1" w:rsidTr="00D34BE1">
        <w:tc>
          <w:tcPr>
            <w:tcW w:w="939" w:type="dxa"/>
          </w:tcPr>
          <w:p w:rsidR="00D34BE1" w:rsidRDefault="00D34BE1">
            <w:pPr>
              <w:rPr>
                <w:rFonts w:ascii="Arial" w:hAnsi="Arial" w:cs="Arial"/>
                <w:sz w:val="20"/>
                <w:szCs w:val="20"/>
              </w:rPr>
            </w:pPr>
            <w:r>
              <w:rPr>
                <w:rFonts w:ascii="Arial" w:hAnsi="Arial" w:cs="Arial"/>
                <w:sz w:val="20"/>
                <w:szCs w:val="20"/>
              </w:rPr>
              <w:lastRenderedPageBreak/>
              <w:t>3.2.8</w:t>
            </w:r>
          </w:p>
        </w:tc>
        <w:tc>
          <w:tcPr>
            <w:tcW w:w="8842" w:type="dxa"/>
            <w:gridSpan w:val="4"/>
          </w:tcPr>
          <w:p w:rsidR="00EF4AF0" w:rsidRDefault="00D34BE1" w:rsidP="00EF4AF0">
            <w:pPr>
              <w:ind w:right="-22"/>
              <w:jc w:val="both"/>
              <w:rPr>
                <w:rFonts w:ascii="Arial" w:hAnsi="Arial" w:cs="Arial"/>
                <w:sz w:val="20"/>
                <w:szCs w:val="20"/>
              </w:rPr>
            </w:pPr>
            <w:r>
              <w:rPr>
                <w:rFonts w:ascii="Arial" w:hAnsi="Arial" w:cs="Arial"/>
                <w:sz w:val="20"/>
                <w:szCs w:val="20"/>
              </w:rPr>
              <w:t xml:space="preserve">In 2013/14, 86% of Masters level entrants were awarded a </w:t>
            </w:r>
            <w:proofErr w:type="spellStart"/>
            <w:r>
              <w:rPr>
                <w:rFonts w:ascii="Arial" w:hAnsi="Arial" w:cs="Arial"/>
                <w:sz w:val="20"/>
                <w:szCs w:val="20"/>
              </w:rPr>
              <w:t>Masters</w:t>
            </w:r>
            <w:proofErr w:type="spellEnd"/>
            <w:r>
              <w:rPr>
                <w:rFonts w:ascii="Arial" w:hAnsi="Arial" w:cs="Arial"/>
                <w:sz w:val="20"/>
                <w:szCs w:val="20"/>
              </w:rPr>
              <w:t xml:space="preserve"> Degree, 3% received a Postgraduate Diploma, 5% were continuing on their programme and 4.5% left without an award.  There was some variation in the outcomes by Faculty</w:t>
            </w:r>
            <w:r w:rsidR="002D1C04">
              <w:rPr>
                <w:rFonts w:ascii="Arial" w:hAnsi="Arial" w:cs="Arial"/>
                <w:sz w:val="20"/>
                <w:szCs w:val="20"/>
              </w:rPr>
              <w:t xml:space="preserve">, with the </w:t>
            </w:r>
            <w:r>
              <w:rPr>
                <w:rFonts w:ascii="Arial" w:hAnsi="Arial" w:cs="Arial"/>
                <w:sz w:val="20"/>
                <w:szCs w:val="20"/>
              </w:rPr>
              <w:t>FMC ha</w:t>
            </w:r>
            <w:r w:rsidR="002D1C04">
              <w:rPr>
                <w:rFonts w:ascii="Arial" w:hAnsi="Arial" w:cs="Arial"/>
                <w:sz w:val="20"/>
                <w:szCs w:val="20"/>
              </w:rPr>
              <w:t>ving</w:t>
            </w:r>
            <w:r>
              <w:rPr>
                <w:rFonts w:ascii="Arial" w:hAnsi="Arial" w:cs="Arial"/>
                <w:sz w:val="20"/>
                <w:szCs w:val="20"/>
              </w:rPr>
              <w:t xml:space="preserve"> the highest percentage of students graduating with a </w:t>
            </w:r>
            <w:proofErr w:type="spellStart"/>
            <w:r>
              <w:rPr>
                <w:rFonts w:ascii="Arial" w:hAnsi="Arial" w:cs="Arial"/>
                <w:sz w:val="20"/>
                <w:szCs w:val="20"/>
              </w:rPr>
              <w:t>Masters</w:t>
            </w:r>
            <w:proofErr w:type="spellEnd"/>
            <w:r>
              <w:rPr>
                <w:rFonts w:ascii="Arial" w:hAnsi="Arial" w:cs="Arial"/>
                <w:sz w:val="20"/>
                <w:szCs w:val="20"/>
              </w:rPr>
              <w:t xml:space="preserve"> degree (90.9%). The lowest proportion was awarded in FHSS (83.3%)</w:t>
            </w:r>
            <w:r w:rsidR="002D1C04">
              <w:rPr>
                <w:rFonts w:ascii="Arial" w:hAnsi="Arial" w:cs="Arial"/>
                <w:sz w:val="20"/>
                <w:szCs w:val="20"/>
              </w:rPr>
              <w:t>, h</w:t>
            </w:r>
            <w:r>
              <w:rPr>
                <w:rFonts w:ascii="Arial" w:hAnsi="Arial" w:cs="Arial"/>
                <w:sz w:val="20"/>
                <w:szCs w:val="20"/>
              </w:rPr>
              <w:t xml:space="preserve">owever FHSS also had the highest proportion of 2013/14 students still continuing (8.3%), the majority of which were likely to eventually complete a </w:t>
            </w:r>
            <w:proofErr w:type="spellStart"/>
            <w:r>
              <w:rPr>
                <w:rFonts w:ascii="Arial" w:hAnsi="Arial" w:cs="Arial"/>
                <w:sz w:val="20"/>
                <w:szCs w:val="20"/>
              </w:rPr>
              <w:t>Masters</w:t>
            </w:r>
            <w:proofErr w:type="spellEnd"/>
            <w:r>
              <w:rPr>
                <w:rFonts w:ascii="Arial" w:hAnsi="Arial" w:cs="Arial"/>
                <w:sz w:val="20"/>
                <w:szCs w:val="20"/>
              </w:rPr>
              <w:t xml:space="preserve"> Degree.  Prof McIntyre-Bhatty asked </w:t>
            </w:r>
            <w:r w:rsidR="00EF4AF0">
              <w:rPr>
                <w:rFonts w:ascii="Arial" w:hAnsi="Arial" w:cs="Arial"/>
                <w:sz w:val="20"/>
                <w:szCs w:val="20"/>
              </w:rPr>
              <w:t xml:space="preserve">DDEPPs to highlight this information at forthcoming FASC meetings as well as the </w:t>
            </w:r>
            <w:r w:rsidR="00D404F2">
              <w:rPr>
                <w:rFonts w:ascii="Arial" w:hAnsi="Arial" w:cs="Arial"/>
                <w:sz w:val="20"/>
                <w:szCs w:val="20"/>
              </w:rPr>
              <w:t xml:space="preserve">proportions </w:t>
            </w:r>
            <w:r w:rsidR="00EF4AF0">
              <w:rPr>
                <w:rFonts w:ascii="Arial" w:hAnsi="Arial" w:cs="Arial"/>
                <w:sz w:val="20"/>
                <w:szCs w:val="20"/>
              </w:rPr>
              <w:t>of First Class</w:t>
            </w:r>
            <w:r w:rsidR="00D404F2">
              <w:rPr>
                <w:rFonts w:ascii="Arial" w:hAnsi="Arial" w:cs="Arial"/>
                <w:sz w:val="20"/>
                <w:szCs w:val="20"/>
              </w:rPr>
              <w:t xml:space="preserve"> and Upper Second Class</w:t>
            </w:r>
            <w:r w:rsidR="00EF4AF0">
              <w:rPr>
                <w:rFonts w:ascii="Arial" w:hAnsi="Arial" w:cs="Arial"/>
                <w:sz w:val="20"/>
                <w:szCs w:val="20"/>
              </w:rPr>
              <w:t xml:space="preserve"> Degrees </w:t>
            </w:r>
            <w:r w:rsidR="00D404F2">
              <w:rPr>
                <w:rFonts w:ascii="Arial" w:hAnsi="Arial" w:cs="Arial"/>
                <w:sz w:val="20"/>
                <w:szCs w:val="20"/>
              </w:rPr>
              <w:t xml:space="preserve">by Faculty </w:t>
            </w:r>
            <w:r w:rsidR="00F72CE8">
              <w:rPr>
                <w:rFonts w:ascii="Arial" w:hAnsi="Arial" w:cs="Arial"/>
                <w:sz w:val="20"/>
                <w:szCs w:val="20"/>
              </w:rPr>
              <w:t xml:space="preserve">as detailed </w:t>
            </w:r>
            <w:r w:rsidR="00EF4AF0">
              <w:rPr>
                <w:rFonts w:ascii="Arial" w:hAnsi="Arial" w:cs="Arial"/>
                <w:sz w:val="20"/>
                <w:szCs w:val="20"/>
              </w:rPr>
              <w:t>on page 35 of the meeting papers</w:t>
            </w:r>
            <w:r w:rsidR="00D404F2">
              <w:rPr>
                <w:rFonts w:ascii="Arial" w:hAnsi="Arial" w:cs="Arial"/>
                <w:sz w:val="20"/>
                <w:szCs w:val="20"/>
              </w:rPr>
              <w:t>, in particular since the apparent relationship between tariff on entry and undergraduate higher degree classifications was downwardly biased in the Faculty of Media &amp; Communication and this had historically been the pattern. This was worthy of reflection on the part of the Faculty.</w:t>
            </w:r>
          </w:p>
          <w:p w:rsidR="00EF4AF0" w:rsidRDefault="00EF4AF0" w:rsidP="00EF4AF0">
            <w:pPr>
              <w:ind w:right="-22"/>
              <w:jc w:val="right"/>
              <w:rPr>
                <w:rFonts w:ascii="Arial" w:hAnsi="Arial" w:cs="Arial"/>
                <w:b/>
                <w:sz w:val="20"/>
                <w:szCs w:val="20"/>
              </w:rPr>
            </w:pPr>
            <w:r>
              <w:rPr>
                <w:rFonts w:ascii="Arial" w:hAnsi="Arial" w:cs="Arial"/>
                <w:b/>
                <w:sz w:val="20"/>
                <w:szCs w:val="20"/>
              </w:rPr>
              <w:t>Action:  DDEPPs</w:t>
            </w:r>
          </w:p>
          <w:p w:rsidR="00B8285E" w:rsidRPr="00EF4AF0" w:rsidRDefault="00B8285E" w:rsidP="00EF4AF0">
            <w:pPr>
              <w:ind w:right="-22"/>
              <w:jc w:val="right"/>
              <w:rPr>
                <w:rFonts w:ascii="Arial" w:hAnsi="Arial" w:cs="Arial"/>
                <w:sz w:val="20"/>
                <w:szCs w:val="20"/>
              </w:rPr>
            </w:pPr>
          </w:p>
        </w:tc>
      </w:tr>
      <w:tr w:rsidR="00EF4AF0" w:rsidTr="00D34BE1">
        <w:tc>
          <w:tcPr>
            <w:tcW w:w="939" w:type="dxa"/>
          </w:tcPr>
          <w:p w:rsidR="00EF4AF0" w:rsidRDefault="00EF4AF0">
            <w:pPr>
              <w:rPr>
                <w:rFonts w:ascii="Arial" w:hAnsi="Arial" w:cs="Arial"/>
                <w:sz w:val="20"/>
                <w:szCs w:val="20"/>
              </w:rPr>
            </w:pPr>
            <w:r>
              <w:rPr>
                <w:rFonts w:ascii="Arial" w:hAnsi="Arial" w:cs="Arial"/>
                <w:sz w:val="20"/>
                <w:szCs w:val="20"/>
              </w:rPr>
              <w:t>3.2.9</w:t>
            </w:r>
          </w:p>
        </w:tc>
        <w:tc>
          <w:tcPr>
            <w:tcW w:w="8842" w:type="dxa"/>
            <w:gridSpan w:val="4"/>
          </w:tcPr>
          <w:p w:rsidR="00EF4AF0" w:rsidRDefault="00187A2F" w:rsidP="00B8285E">
            <w:pPr>
              <w:ind w:right="-22"/>
              <w:jc w:val="both"/>
              <w:rPr>
                <w:rFonts w:ascii="Arial" w:hAnsi="Arial" w:cs="Arial"/>
                <w:sz w:val="20"/>
                <w:szCs w:val="20"/>
              </w:rPr>
            </w:pPr>
            <w:r>
              <w:rPr>
                <w:rFonts w:ascii="Arial" w:hAnsi="Arial" w:cs="Arial"/>
                <w:sz w:val="20"/>
                <w:szCs w:val="20"/>
              </w:rPr>
              <w:t xml:space="preserve">The </w:t>
            </w:r>
            <w:r w:rsidR="00EB0D26">
              <w:rPr>
                <w:rFonts w:ascii="Arial" w:hAnsi="Arial" w:cs="Arial"/>
                <w:sz w:val="20"/>
                <w:szCs w:val="20"/>
              </w:rPr>
              <w:t xml:space="preserve">proportion </w:t>
            </w:r>
            <w:r>
              <w:rPr>
                <w:rFonts w:ascii="Arial" w:hAnsi="Arial" w:cs="Arial"/>
                <w:sz w:val="20"/>
                <w:szCs w:val="20"/>
              </w:rPr>
              <w:t>of students awarded a Distinction on an MSc programme rose from 17.8% i</w:t>
            </w:r>
            <w:r w:rsidR="002D1C04">
              <w:rPr>
                <w:rFonts w:ascii="Arial" w:hAnsi="Arial" w:cs="Arial"/>
                <w:sz w:val="20"/>
                <w:szCs w:val="20"/>
              </w:rPr>
              <w:t xml:space="preserve">n 2012/13 to 24.3% in 2014/15. </w:t>
            </w:r>
            <w:r>
              <w:rPr>
                <w:rFonts w:ascii="Arial" w:hAnsi="Arial" w:cs="Arial"/>
                <w:sz w:val="20"/>
                <w:szCs w:val="20"/>
              </w:rPr>
              <w:t xml:space="preserve">The </w:t>
            </w:r>
            <w:r w:rsidR="00EB0D26">
              <w:rPr>
                <w:rFonts w:ascii="Arial" w:hAnsi="Arial" w:cs="Arial"/>
                <w:sz w:val="20"/>
                <w:szCs w:val="20"/>
              </w:rPr>
              <w:t xml:space="preserve">proportion </w:t>
            </w:r>
            <w:r>
              <w:rPr>
                <w:rFonts w:ascii="Arial" w:hAnsi="Arial" w:cs="Arial"/>
                <w:sz w:val="20"/>
                <w:szCs w:val="20"/>
              </w:rPr>
              <w:t xml:space="preserve">of students gaining a Merit </w:t>
            </w:r>
            <w:r w:rsidR="00EB0D26">
              <w:rPr>
                <w:rFonts w:ascii="Arial" w:hAnsi="Arial" w:cs="Arial"/>
                <w:sz w:val="20"/>
                <w:szCs w:val="20"/>
              </w:rPr>
              <w:t xml:space="preserve">or Distinction </w:t>
            </w:r>
            <w:r>
              <w:rPr>
                <w:rFonts w:ascii="Arial" w:hAnsi="Arial" w:cs="Arial"/>
                <w:sz w:val="20"/>
                <w:szCs w:val="20"/>
              </w:rPr>
              <w:t xml:space="preserve">increased from 69% in 2012/13 to 79.9% in 2014/15. </w:t>
            </w:r>
            <w:r w:rsidR="002D1C04">
              <w:rPr>
                <w:rFonts w:ascii="Arial" w:hAnsi="Arial" w:cs="Arial"/>
                <w:sz w:val="20"/>
                <w:szCs w:val="20"/>
              </w:rPr>
              <w:t xml:space="preserve">The </w:t>
            </w:r>
            <w:r w:rsidR="00EB0D26">
              <w:rPr>
                <w:rFonts w:ascii="Arial" w:hAnsi="Arial" w:cs="Arial"/>
                <w:sz w:val="20"/>
                <w:szCs w:val="20"/>
              </w:rPr>
              <w:t xml:space="preserve">proportion </w:t>
            </w:r>
            <w:r w:rsidR="002D1C04">
              <w:rPr>
                <w:rFonts w:ascii="Arial" w:hAnsi="Arial" w:cs="Arial"/>
                <w:sz w:val="20"/>
                <w:szCs w:val="20"/>
              </w:rPr>
              <w:t>of students awarded</w:t>
            </w:r>
            <w:r>
              <w:rPr>
                <w:rFonts w:ascii="Arial" w:hAnsi="Arial" w:cs="Arial"/>
                <w:sz w:val="20"/>
                <w:szCs w:val="20"/>
              </w:rPr>
              <w:t xml:space="preserve"> a Merit or Distinction on an MA programme increased from 77.5% in 2012/13 to 80.6% in 2014/15. Within this total, the proportion awarded a Distinction rose from 16.7% in 2012/13 to 21.7% in 2014/15.  It was noted that there was no clear trend of award pattern over the </w:t>
            </w:r>
            <w:r w:rsidR="00B8285E">
              <w:rPr>
                <w:rFonts w:ascii="Arial" w:hAnsi="Arial" w:cs="Arial"/>
                <w:sz w:val="20"/>
                <w:szCs w:val="20"/>
              </w:rPr>
              <w:t>three years for MBA Awards and LLM Awards, although the majority of graduates achieved a Merit across the three years.</w:t>
            </w:r>
          </w:p>
          <w:p w:rsidR="00B8285E" w:rsidRDefault="00B8285E" w:rsidP="00B8285E">
            <w:pPr>
              <w:ind w:right="-22"/>
              <w:jc w:val="both"/>
              <w:rPr>
                <w:rFonts w:ascii="Arial" w:hAnsi="Arial" w:cs="Arial"/>
                <w:sz w:val="20"/>
                <w:szCs w:val="20"/>
              </w:rPr>
            </w:pPr>
          </w:p>
        </w:tc>
      </w:tr>
      <w:tr w:rsidR="00B8285E" w:rsidTr="00D34BE1">
        <w:tc>
          <w:tcPr>
            <w:tcW w:w="939" w:type="dxa"/>
          </w:tcPr>
          <w:p w:rsidR="00B8285E" w:rsidRDefault="00B8285E">
            <w:pPr>
              <w:rPr>
                <w:rFonts w:ascii="Arial" w:hAnsi="Arial" w:cs="Arial"/>
                <w:sz w:val="20"/>
                <w:szCs w:val="20"/>
              </w:rPr>
            </w:pPr>
            <w:r>
              <w:rPr>
                <w:rFonts w:ascii="Arial" w:hAnsi="Arial" w:cs="Arial"/>
                <w:sz w:val="20"/>
                <w:szCs w:val="20"/>
              </w:rPr>
              <w:t>3.2.10</w:t>
            </w:r>
          </w:p>
        </w:tc>
        <w:tc>
          <w:tcPr>
            <w:tcW w:w="8842" w:type="dxa"/>
            <w:gridSpan w:val="4"/>
          </w:tcPr>
          <w:p w:rsidR="00B8285E" w:rsidRDefault="00B8285E" w:rsidP="00B8285E">
            <w:pPr>
              <w:ind w:right="-22"/>
              <w:jc w:val="both"/>
              <w:rPr>
                <w:rFonts w:ascii="Arial" w:hAnsi="Arial" w:cs="Arial"/>
                <w:sz w:val="20"/>
                <w:szCs w:val="20"/>
              </w:rPr>
            </w:pPr>
            <w:r>
              <w:rPr>
                <w:rFonts w:ascii="Arial" w:hAnsi="Arial" w:cs="Arial"/>
                <w:sz w:val="20"/>
                <w:szCs w:val="20"/>
              </w:rPr>
              <w:t xml:space="preserve">The overall Postgraduate Research </w:t>
            </w:r>
            <w:r w:rsidR="00684600">
              <w:rPr>
                <w:rFonts w:ascii="Arial" w:hAnsi="Arial" w:cs="Arial"/>
                <w:sz w:val="20"/>
                <w:szCs w:val="20"/>
              </w:rPr>
              <w:t xml:space="preserve">(PGR) </w:t>
            </w:r>
            <w:r>
              <w:rPr>
                <w:rFonts w:ascii="Arial" w:hAnsi="Arial" w:cs="Arial"/>
                <w:sz w:val="20"/>
                <w:szCs w:val="20"/>
              </w:rPr>
              <w:t>completion rate from 2006/07 year of entry was 75%</w:t>
            </w:r>
            <w:proofErr w:type="gramStart"/>
            <w:r>
              <w:rPr>
                <w:rFonts w:ascii="Arial" w:hAnsi="Arial" w:cs="Arial"/>
                <w:sz w:val="20"/>
                <w:szCs w:val="20"/>
              </w:rPr>
              <w:t>,</w:t>
            </w:r>
            <w:proofErr w:type="gramEnd"/>
            <w:r>
              <w:rPr>
                <w:rFonts w:ascii="Arial" w:hAnsi="Arial" w:cs="Arial"/>
                <w:sz w:val="20"/>
                <w:szCs w:val="20"/>
              </w:rPr>
              <w:t xml:space="preserve"> with the same or higher rates likely in subsequent years from those students who had either already completed or were still continuing.  The proportion of Postgraduate Research students finishing within four years rose from 43% for 2006/07 entry to 59% in 2007/08 entry. However, this number decreased to 20% in 2010/11.  Part time doctoral completions rose from 23% within 7 years for 2006/07 starters to 42% for 2007/08 starters.</w:t>
            </w:r>
            <w:r w:rsidR="00684600">
              <w:rPr>
                <w:rFonts w:ascii="Arial" w:hAnsi="Arial" w:cs="Arial"/>
                <w:sz w:val="20"/>
                <w:szCs w:val="20"/>
              </w:rPr>
              <w:t xml:space="preserve">  The Committee noted the Graduate School review was underway with regards to reviewing and address PGR completion rates within the University.</w:t>
            </w:r>
            <w:r>
              <w:rPr>
                <w:rFonts w:ascii="Arial" w:hAnsi="Arial" w:cs="Arial"/>
                <w:sz w:val="20"/>
                <w:szCs w:val="20"/>
              </w:rPr>
              <w:t xml:space="preserve">  </w:t>
            </w:r>
          </w:p>
          <w:p w:rsidR="002D1C04" w:rsidRPr="00B8285E" w:rsidRDefault="002D1C04" w:rsidP="00767ABF">
            <w:pPr>
              <w:ind w:right="-22"/>
              <w:jc w:val="right"/>
              <w:rPr>
                <w:rFonts w:ascii="Arial" w:hAnsi="Arial" w:cs="Arial"/>
                <w:sz w:val="20"/>
                <w:szCs w:val="20"/>
              </w:rPr>
            </w:pPr>
          </w:p>
        </w:tc>
      </w:tr>
      <w:tr w:rsidR="00767ABF" w:rsidTr="00D34BE1">
        <w:tc>
          <w:tcPr>
            <w:tcW w:w="939" w:type="dxa"/>
          </w:tcPr>
          <w:p w:rsidR="00767ABF" w:rsidRDefault="00767ABF">
            <w:pPr>
              <w:rPr>
                <w:rFonts w:ascii="Arial" w:hAnsi="Arial" w:cs="Arial"/>
                <w:sz w:val="20"/>
                <w:szCs w:val="20"/>
              </w:rPr>
            </w:pPr>
            <w:r>
              <w:rPr>
                <w:rFonts w:ascii="Arial" w:hAnsi="Arial" w:cs="Arial"/>
                <w:sz w:val="20"/>
                <w:szCs w:val="20"/>
              </w:rPr>
              <w:t>3.2.11</w:t>
            </w:r>
          </w:p>
        </w:tc>
        <w:tc>
          <w:tcPr>
            <w:tcW w:w="8842" w:type="dxa"/>
            <w:gridSpan w:val="4"/>
          </w:tcPr>
          <w:p w:rsidR="00767ABF" w:rsidRDefault="00767ABF" w:rsidP="00B8285E">
            <w:pPr>
              <w:ind w:right="-22"/>
              <w:jc w:val="both"/>
              <w:rPr>
                <w:rFonts w:ascii="Arial" w:hAnsi="Arial" w:cs="Arial"/>
                <w:sz w:val="20"/>
                <w:szCs w:val="20"/>
              </w:rPr>
            </w:pPr>
            <w:r>
              <w:rPr>
                <w:rFonts w:ascii="Arial" w:hAnsi="Arial" w:cs="Arial"/>
                <w:b/>
                <w:sz w:val="20"/>
                <w:szCs w:val="20"/>
              </w:rPr>
              <w:t>Noted:</w:t>
            </w:r>
            <w:r>
              <w:rPr>
                <w:rFonts w:ascii="Arial" w:hAnsi="Arial" w:cs="Arial"/>
                <w:sz w:val="20"/>
                <w:szCs w:val="20"/>
              </w:rPr>
              <w:t xml:space="preserve">  The </w:t>
            </w:r>
            <w:r w:rsidRPr="00767ABF">
              <w:rPr>
                <w:rFonts w:ascii="Arial" w:hAnsi="Arial" w:cs="Arial"/>
                <w:sz w:val="20"/>
                <w:szCs w:val="20"/>
              </w:rPr>
              <w:t>Student Population Statistics</w:t>
            </w:r>
            <w:r>
              <w:rPr>
                <w:rFonts w:ascii="Arial" w:hAnsi="Arial" w:cs="Arial"/>
                <w:sz w:val="20"/>
                <w:szCs w:val="20"/>
              </w:rPr>
              <w:t xml:space="preserve"> paper was noted.</w:t>
            </w:r>
          </w:p>
          <w:p w:rsidR="00767ABF" w:rsidRDefault="00767ABF" w:rsidP="00B8285E">
            <w:pPr>
              <w:ind w:right="-22"/>
              <w:jc w:val="both"/>
              <w:rPr>
                <w:rFonts w:ascii="Arial" w:hAnsi="Arial" w:cs="Arial"/>
                <w:sz w:val="20"/>
                <w:szCs w:val="20"/>
              </w:rPr>
            </w:pPr>
          </w:p>
          <w:p w:rsidR="00767ABF" w:rsidRPr="00767ABF" w:rsidRDefault="00767ABF" w:rsidP="00B8285E">
            <w:pPr>
              <w:ind w:right="-22"/>
              <w:jc w:val="both"/>
              <w:rPr>
                <w:rFonts w:ascii="Arial" w:hAnsi="Arial" w:cs="Arial"/>
                <w:sz w:val="20"/>
                <w:szCs w:val="20"/>
              </w:rPr>
            </w:pPr>
          </w:p>
        </w:tc>
      </w:tr>
      <w:tr w:rsidR="00643C63" w:rsidTr="00AD2767">
        <w:tc>
          <w:tcPr>
            <w:tcW w:w="939" w:type="dxa"/>
          </w:tcPr>
          <w:p w:rsidR="00643C63" w:rsidRPr="00643C63" w:rsidRDefault="00643C63" w:rsidP="00AD2767">
            <w:pPr>
              <w:spacing w:after="200" w:line="276" w:lineRule="auto"/>
              <w:rPr>
                <w:rFonts w:ascii="Arial" w:hAnsi="Arial" w:cs="Arial"/>
                <w:sz w:val="20"/>
                <w:szCs w:val="20"/>
              </w:rPr>
            </w:pPr>
            <w:r>
              <w:rPr>
                <w:rFonts w:ascii="Arial" w:hAnsi="Arial" w:cs="Arial"/>
                <w:b/>
                <w:sz w:val="20"/>
                <w:szCs w:val="20"/>
              </w:rPr>
              <w:t>3.3</w:t>
            </w:r>
          </w:p>
        </w:tc>
        <w:tc>
          <w:tcPr>
            <w:tcW w:w="8842" w:type="dxa"/>
            <w:gridSpan w:val="4"/>
          </w:tcPr>
          <w:p w:rsidR="00643C63" w:rsidRPr="00643C63" w:rsidRDefault="00643C63" w:rsidP="00643C63">
            <w:pPr>
              <w:pStyle w:val="BodyTextIndent"/>
              <w:tabs>
                <w:tab w:val="clear" w:pos="624"/>
                <w:tab w:val="clear" w:pos="1950"/>
                <w:tab w:val="clear" w:pos="8346"/>
              </w:tabs>
              <w:ind w:left="720" w:right="-22" w:hanging="720"/>
              <w:jc w:val="both"/>
              <w:rPr>
                <w:rFonts w:ascii="Arial" w:hAnsi="Arial" w:cs="Arial"/>
              </w:rPr>
            </w:pPr>
            <w:r>
              <w:rPr>
                <w:rFonts w:ascii="Arial" w:hAnsi="Arial" w:cs="Arial"/>
                <w:b/>
              </w:rPr>
              <w:t xml:space="preserve">Updated AECC Faculty Quality Report </w:t>
            </w:r>
            <w:r>
              <w:rPr>
                <w:rFonts w:ascii="Arial" w:hAnsi="Arial" w:cs="Arial"/>
              </w:rPr>
              <w:t>(ASC-1516-62)</w:t>
            </w:r>
          </w:p>
        </w:tc>
      </w:tr>
      <w:tr w:rsidR="00643C63" w:rsidTr="00AD2767">
        <w:tc>
          <w:tcPr>
            <w:tcW w:w="939" w:type="dxa"/>
          </w:tcPr>
          <w:p w:rsidR="00643C63" w:rsidRDefault="00643C63" w:rsidP="00AD2767">
            <w:pPr>
              <w:spacing w:after="200" w:line="276" w:lineRule="auto"/>
              <w:rPr>
                <w:rFonts w:ascii="Arial" w:hAnsi="Arial" w:cs="Arial"/>
                <w:sz w:val="20"/>
                <w:szCs w:val="20"/>
              </w:rPr>
            </w:pPr>
            <w:r>
              <w:rPr>
                <w:rFonts w:ascii="Arial" w:hAnsi="Arial" w:cs="Arial"/>
                <w:sz w:val="20"/>
                <w:szCs w:val="20"/>
              </w:rPr>
              <w:t>3.3.1</w:t>
            </w:r>
          </w:p>
        </w:tc>
        <w:tc>
          <w:tcPr>
            <w:tcW w:w="8842" w:type="dxa"/>
            <w:gridSpan w:val="4"/>
          </w:tcPr>
          <w:p w:rsidR="00643C63" w:rsidRDefault="009A0AAF" w:rsidP="009A0AAF">
            <w:pPr>
              <w:pStyle w:val="BodyTextIndent"/>
              <w:tabs>
                <w:tab w:val="clear" w:pos="624"/>
                <w:tab w:val="clear" w:pos="1950"/>
                <w:tab w:val="clear" w:pos="8346"/>
              </w:tabs>
              <w:ind w:left="0" w:right="-22"/>
              <w:jc w:val="both"/>
              <w:rPr>
                <w:rFonts w:ascii="Arial" w:hAnsi="Arial" w:cs="Arial"/>
              </w:rPr>
            </w:pPr>
            <w:r>
              <w:rPr>
                <w:rFonts w:ascii="Arial" w:hAnsi="Arial" w:cs="Arial"/>
                <w:b/>
              </w:rPr>
              <w:t xml:space="preserve">Approved:  </w:t>
            </w:r>
            <w:r>
              <w:rPr>
                <w:rFonts w:ascii="Arial" w:hAnsi="Arial" w:cs="Arial"/>
              </w:rPr>
              <w:t>The updated Anglo-European College of Chiropra</w:t>
            </w:r>
            <w:r w:rsidR="00152EAF">
              <w:rPr>
                <w:rFonts w:ascii="Arial" w:hAnsi="Arial" w:cs="Arial"/>
              </w:rPr>
              <w:t>c</w:t>
            </w:r>
            <w:r>
              <w:rPr>
                <w:rFonts w:ascii="Arial" w:hAnsi="Arial" w:cs="Arial"/>
              </w:rPr>
              <w:t>tic (AECC) Faculty Quality Report was approved.</w:t>
            </w:r>
          </w:p>
          <w:p w:rsidR="00452F73" w:rsidRDefault="00452F73" w:rsidP="001D6442">
            <w:pPr>
              <w:pStyle w:val="BodyTextIndent"/>
              <w:tabs>
                <w:tab w:val="clear" w:pos="624"/>
                <w:tab w:val="clear" w:pos="1950"/>
                <w:tab w:val="clear" w:pos="8346"/>
              </w:tabs>
              <w:ind w:left="720" w:right="-22" w:hanging="720"/>
              <w:jc w:val="both"/>
              <w:rPr>
                <w:rFonts w:ascii="Arial" w:hAnsi="Arial" w:cs="Arial"/>
              </w:rPr>
            </w:pPr>
          </w:p>
          <w:p w:rsidR="00452F73" w:rsidRDefault="00452F73" w:rsidP="001D6442">
            <w:pPr>
              <w:pStyle w:val="BodyTextIndent"/>
              <w:tabs>
                <w:tab w:val="clear" w:pos="624"/>
                <w:tab w:val="clear" w:pos="1950"/>
                <w:tab w:val="clear" w:pos="8346"/>
              </w:tabs>
              <w:ind w:left="720" w:right="-22" w:hanging="720"/>
              <w:jc w:val="both"/>
              <w:rPr>
                <w:rFonts w:ascii="Arial" w:hAnsi="Arial" w:cs="Arial"/>
              </w:rPr>
            </w:pPr>
          </w:p>
        </w:tc>
      </w:tr>
      <w:tr w:rsidR="00643C63" w:rsidTr="00AD2767">
        <w:tc>
          <w:tcPr>
            <w:tcW w:w="939" w:type="dxa"/>
          </w:tcPr>
          <w:p w:rsidR="00643C63" w:rsidRPr="00643C63" w:rsidRDefault="00643C63" w:rsidP="00AD2767">
            <w:pPr>
              <w:spacing w:after="200" w:line="276" w:lineRule="auto"/>
              <w:rPr>
                <w:rFonts w:ascii="Arial" w:hAnsi="Arial" w:cs="Arial"/>
                <w:b/>
                <w:sz w:val="20"/>
                <w:szCs w:val="20"/>
              </w:rPr>
            </w:pPr>
            <w:r>
              <w:rPr>
                <w:rFonts w:ascii="Arial" w:hAnsi="Arial" w:cs="Arial"/>
                <w:b/>
                <w:sz w:val="20"/>
                <w:szCs w:val="20"/>
              </w:rPr>
              <w:t>3.4</w:t>
            </w:r>
          </w:p>
        </w:tc>
        <w:tc>
          <w:tcPr>
            <w:tcW w:w="8842" w:type="dxa"/>
            <w:gridSpan w:val="4"/>
          </w:tcPr>
          <w:p w:rsidR="00643C63" w:rsidRDefault="00643C63" w:rsidP="002D1C04">
            <w:pPr>
              <w:pStyle w:val="BodyTextIndent"/>
              <w:tabs>
                <w:tab w:val="clear" w:pos="624"/>
                <w:tab w:val="clear" w:pos="1950"/>
                <w:tab w:val="clear" w:pos="8346"/>
              </w:tabs>
              <w:ind w:left="0" w:right="-22"/>
              <w:rPr>
                <w:rFonts w:ascii="Arial" w:hAnsi="Arial" w:cs="Arial"/>
              </w:rPr>
            </w:pPr>
            <w:r>
              <w:rPr>
                <w:rFonts w:ascii="Arial" w:hAnsi="Arial" w:cs="Arial"/>
                <w:b/>
              </w:rPr>
              <w:t xml:space="preserve">Amendment to the definition of Higher Doctorates, </w:t>
            </w:r>
            <w:r>
              <w:rPr>
                <w:rFonts w:ascii="Arial" w:hAnsi="Arial" w:cs="Arial"/>
                <w:b/>
                <w:i/>
              </w:rPr>
              <w:t>8C – Higher Doctorate Awards at Bournemouth University: Procedure</w:t>
            </w:r>
            <w:r>
              <w:rPr>
                <w:rFonts w:ascii="Arial" w:hAnsi="Arial" w:cs="Arial"/>
              </w:rPr>
              <w:t xml:space="preserve"> (ASC-1516-63)</w:t>
            </w:r>
          </w:p>
          <w:p w:rsidR="00301CEF" w:rsidRPr="00643C63" w:rsidRDefault="00301CEF" w:rsidP="00643C63">
            <w:pPr>
              <w:pStyle w:val="BodyTextIndent"/>
              <w:tabs>
                <w:tab w:val="clear" w:pos="624"/>
                <w:tab w:val="clear" w:pos="1950"/>
                <w:tab w:val="clear" w:pos="8346"/>
              </w:tabs>
              <w:ind w:left="0" w:right="-22"/>
              <w:jc w:val="both"/>
              <w:rPr>
                <w:rFonts w:ascii="Arial" w:hAnsi="Arial" w:cs="Arial"/>
              </w:rPr>
            </w:pPr>
          </w:p>
        </w:tc>
      </w:tr>
      <w:tr w:rsidR="00301CEF" w:rsidTr="00AD2767">
        <w:tc>
          <w:tcPr>
            <w:tcW w:w="939" w:type="dxa"/>
          </w:tcPr>
          <w:p w:rsidR="00301CEF" w:rsidRPr="00301CEF" w:rsidRDefault="00301CEF" w:rsidP="00AD2767">
            <w:pPr>
              <w:spacing w:after="200" w:line="276" w:lineRule="auto"/>
              <w:rPr>
                <w:rFonts w:ascii="Arial" w:hAnsi="Arial" w:cs="Arial"/>
                <w:sz w:val="20"/>
                <w:szCs w:val="20"/>
              </w:rPr>
            </w:pPr>
            <w:r>
              <w:rPr>
                <w:rFonts w:ascii="Arial" w:hAnsi="Arial" w:cs="Arial"/>
                <w:sz w:val="20"/>
                <w:szCs w:val="20"/>
              </w:rPr>
              <w:t>3.4.1</w:t>
            </w:r>
          </w:p>
        </w:tc>
        <w:tc>
          <w:tcPr>
            <w:tcW w:w="8842" w:type="dxa"/>
            <w:gridSpan w:val="4"/>
          </w:tcPr>
          <w:p w:rsidR="00301CEF" w:rsidRDefault="00301CEF" w:rsidP="00643C63">
            <w:pPr>
              <w:pStyle w:val="BodyTextIndent"/>
              <w:tabs>
                <w:tab w:val="clear" w:pos="624"/>
                <w:tab w:val="clear" w:pos="1950"/>
                <w:tab w:val="clear" w:pos="8346"/>
              </w:tabs>
              <w:ind w:left="0" w:right="-22"/>
              <w:jc w:val="both"/>
              <w:rPr>
                <w:rFonts w:ascii="Arial" w:hAnsi="Arial" w:cs="Arial"/>
              </w:rPr>
            </w:pPr>
            <w:r>
              <w:rPr>
                <w:rFonts w:ascii="Arial" w:hAnsi="Arial" w:cs="Arial"/>
              </w:rPr>
              <w:t>Ms Symonds presented the paper on behalf of Prof Zhang who was unable to attend the meeting.</w:t>
            </w:r>
          </w:p>
          <w:p w:rsidR="00301CEF" w:rsidRPr="00301CEF" w:rsidRDefault="00301CEF" w:rsidP="00643C63">
            <w:pPr>
              <w:pStyle w:val="BodyTextIndent"/>
              <w:tabs>
                <w:tab w:val="clear" w:pos="624"/>
                <w:tab w:val="clear" w:pos="1950"/>
                <w:tab w:val="clear" w:pos="8346"/>
              </w:tabs>
              <w:ind w:left="0" w:right="-22"/>
              <w:jc w:val="both"/>
              <w:rPr>
                <w:rFonts w:ascii="Arial" w:hAnsi="Arial" w:cs="Arial"/>
              </w:rPr>
            </w:pPr>
          </w:p>
        </w:tc>
      </w:tr>
      <w:tr w:rsidR="00301CEF" w:rsidTr="00AD2767">
        <w:tc>
          <w:tcPr>
            <w:tcW w:w="939" w:type="dxa"/>
          </w:tcPr>
          <w:p w:rsidR="00301CEF" w:rsidRDefault="00301CEF" w:rsidP="00AD2767">
            <w:pPr>
              <w:spacing w:after="200" w:line="276" w:lineRule="auto"/>
              <w:rPr>
                <w:rFonts w:ascii="Arial" w:hAnsi="Arial" w:cs="Arial"/>
                <w:sz w:val="20"/>
                <w:szCs w:val="20"/>
              </w:rPr>
            </w:pPr>
            <w:r>
              <w:rPr>
                <w:rFonts w:ascii="Arial" w:hAnsi="Arial" w:cs="Arial"/>
                <w:sz w:val="20"/>
                <w:szCs w:val="20"/>
              </w:rPr>
              <w:t>3.4.2</w:t>
            </w:r>
          </w:p>
        </w:tc>
        <w:tc>
          <w:tcPr>
            <w:tcW w:w="8842" w:type="dxa"/>
            <w:gridSpan w:val="4"/>
          </w:tcPr>
          <w:p w:rsidR="0077539F" w:rsidRDefault="00301CEF" w:rsidP="002D1C04">
            <w:pPr>
              <w:pStyle w:val="BodyTextIndent"/>
              <w:tabs>
                <w:tab w:val="clear" w:pos="624"/>
                <w:tab w:val="clear" w:pos="1950"/>
                <w:tab w:val="clear" w:pos="8346"/>
              </w:tabs>
              <w:ind w:left="0" w:right="-22"/>
              <w:jc w:val="both"/>
              <w:rPr>
                <w:rFonts w:ascii="Arial" w:hAnsi="Arial" w:cs="Arial"/>
              </w:rPr>
            </w:pPr>
            <w:r>
              <w:rPr>
                <w:rFonts w:ascii="Arial" w:hAnsi="Arial" w:cs="Arial"/>
              </w:rPr>
              <w:t xml:space="preserve">In October 2015, the Committee approved a new academic procedure, </w:t>
            </w:r>
            <w:r>
              <w:rPr>
                <w:rFonts w:ascii="Arial" w:hAnsi="Arial" w:cs="Arial"/>
                <w:i/>
              </w:rPr>
              <w:t>8C – Higher Doctorate Awards at Bournemouth University: Procedure</w:t>
            </w:r>
            <w:r>
              <w:rPr>
                <w:rFonts w:ascii="Arial" w:hAnsi="Arial" w:cs="Arial"/>
              </w:rPr>
              <w:t xml:space="preserve">. The paper presented to the October 2015 meeting incorporated an amendment to the </w:t>
            </w:r>
            <w:r w:rsidR="00684600">
              <w:rPr>
                <w:rFonts w:ascii="Arial" w:hAnsi="Arial" w:cs="Arial"/>
              </w:rPr>
              <w:t xml:space="preserve">requirements for being considered for the title/award </w:t>
            </w:r>
            <w:r>
              <w:rPr>
                <w:rFonts w:ascii="Arial" w:hAnsi="Arial" w:cs="Arial"/>
              </w:rPr>
              <w:t xml:space="preserve">Higher Doctorate which was defined in the University’s </w:t>
            </w:r>
            <w:r>
              <w:rPr>
                <w:rFonts w:ascii="Arial" w:hAnsi="Arial" w:cs="Arial"/>
                <w:i/>
              </w:rPr>
              <w:t>2A – Awards of Bournemouth University: Policy.</w:t>
            </w:r>
            <w:r>
              <w:rPr>
                <w:rFonts w:ascii="Arial" w:hAnsi="Arial" w:cs="Arial"/>
              </w:rPr>
              <w:t xml:space="preserve"> </w:t>
            </w:r>
          </w:p>
          <w:p w:rsidR="006D7CC1" w:rsidRDefault="006D7CC1" w:rsidP="002D1C04">
            <w:pPr>
              <w:pStyle w:val="BodyTextIndent"/>
              <w:tabs>
                <w:tab w:val="clear" w:pos="624"/>
                <w:tab w:val="clear" w:pos="1950"/>
                <w:tab w:val="clear" w:pos="8346"/>
              </w:tabs>
              <w:ind w:left="0" w:right="-22"/>
              <w:jc w:val="both"/>
              <w:rPr>
                <w:rFonts w:ascii="Arial" w:hAnsi="Arial" w:cs="Arial"/>
              </w:rPr>
            </w:pPr>
          </w:p>
          <w:p w:rsidR="00301CEF" w:rsidRDefault="00624515" w:rsidP="002D1C04">
            <w:pPr>
              <w:pStyle w:val="BodyTextIndent"/>
              <w:tabs>
                <w:tab w:val="clear" w:pos="624"/>
                <w:tab w:val="clear" w:pos="1950"/>
                <w:tab w:val="clear" w:pos="8346"/>
              </w:tabs>
              <w:ind w:left="0" w:right="-22"/>
              <w:jc w:val="both"/>
              <w:rPr>
                <w:rFonts w:ascii="Arial" w:hAnsi="Arial" w:cs="Arial"/>
              </w:rPr>
            </w:pPr>
            <w:r>
              <w:rPr>
                <w:rFonts w:ascii="Arial" w:hAnsi="Arial" w:cs="Arial"/>
              </w:rPr>
              <w:t xml:space="preserve">As this amendment </w:t>
            </w:r>
            <w:r w:rsidR="00301CEF">
              <w:rPr>
                <w:rFonts w:ascii="Arial" w:hAnsi="Arial" w:cs="Arial"/>
              </w:rPr>
              <w:t xml:space="preserve">was not made explicit in the proposal, the amended definition was </w:t>
            </w:r>
            <w:r w:rsidR="002D1C04">
              <w:rPr>
                <w:rFonts w:ascii="Arial" w:hAnsi="Arial" w:cs="Arial"/>
              </w:rPr>
              <w:t xml:space="preserve">being </w:t>
            </w:r>
            <w:r>
              <w:rPr>
                <w:rFonts w:ascii="Arial" w:hAnsi="Arial" w:cs="Arial"/>
              </w:rPr>
              <w:t>r</w:t>
            </w:r>
            <w:r w:rsidR="00301CEF">
              <w:rPr>
                <w:rFonts w:ascii="Arial" w:hAnsi="Arial" w:cs="Arial"/>
              </w:rPr>
              <w:t>esubmitted to the Committee</w:t>
            </w:r>
            <w:r w:rsidR="007A3DEB">
              <w:rPr>
                <w:rFonts w:ascii="Arial" w:hAnsi="Arial" w:cs="Arial"/>
              </w:rPr>
              <w:t>.</w:t>
            </w:r>
            <w:r w:rsidR="00301CEF">
              <w:rPr>
                <w:rFonts w:ascii="Arial" w:hAnsi="Arial" w:cs="Arial"/>
              </w:rPr>
              <w:t xml:space="preserve"> </w:t>
            </w:r>
          </w:p>
          <w:p w:rsidR="006D7CC1" w:rsidRDefault="006D7CC1" w:rsidP="002D1C04">
            <w:pPr>
              <w:pStyle w:val="BodyTextIndent"/>
              <w:tabs>
                <w:tab w:val="clear" w:pos="624"/>
                <w:tab w:val="clear" w:pos="1950"/>
                <w:tab w:val="clear" w:pos="8346"/>
              </w:tabs>
              <w:ind w:left="0" w:right="-22"/>
              <w:jc w:val="both"/>
              <w:rPr>
                <w:rFonts w:ascii="Arial" w:hAnsi="Arial" w:cs="Arial"/>
              </w:rPr>
            </w:pPr>
          </w:p>
          <w:p w:rsidR="00301CEF" w:rsidRPr="00624515" w:rsidRDefault="00301CEF" w:rsidP="00583BF2">
            <w:pPr>
              <w:pStyle w:val="BodyTextIndent"/>
              <w:tabs>
                <w:tab w:val="clear" w:pos="624"/>
                <w:tab w:val="clear" w:pos="1950"/>
                <w:tab w:val="clear" w:pos="8346"/>
              </w:tabs>
              <w:ind w:left="720" w:right="-22"/>
              <w:rPr>
                <w:rFonts w:ascii="Arial" w:hAnsi="Arial" w:cs="Arial"/>
              </w:rPr>
            </w:pPr>
            <w:r w:rsidRPr="00624515">
              <w:rPr>
                <w:rFonts w:ascii="Arial" w:hAnsi="Arial" w:cs="Arial"/>
              </w:rPr>
              <w:lastRenderedPageBreak/>
              <w:t>The original wording of “</w:t>
            </w:r>
            <w:r w:rsidRPr="002D1C04">
              <w:rPr>
                <w:rFonts w:ascii="Arial" w:hAnsi="Arial" w:cs="Arial"/>
                <w:i/>
              </w:rPr>
              <w:t>Such an applicant shall be a holder of at least seven years’ standing of a first degree or a holder of at least four years’ standing of a higher degree</w:t>
            </w:r>
            <w:r w:rsidRPr="00624515">
              <w:rPr>
                <w:rFonts w:ascii="Arial" w:hAnsi="Arial" w:cs="Arial"/>
              </w:rPr>
              <w:t>” was reworded to “</w:t>
            </w:r>
            <w:r w:rsidRPr="002D1C04">
              <w:rPr>
                <w:rFonts w:ascii="Arial" w:hAnsi="Arial" w:cs="Arial"/>
                <w:i/>
              </w:rPr>
              <w:t>Such an applicant shall be a holder of at least four years’ standing of a higher degree (normally Doctorate)</w:t>
            </w:r>
            <w:r w:rsidRPr="00624515">
              <w:rPr>
                <w:rFonts w:ascii="Arial" w:hAnsi="Arial" w:cs="Arial"/>
              </w:rPr>
              <w:t>”.</w:t>
            </w:r>
          </w:p>
          <w:p w:rsidR="00301CEF" w:rsidRPr="00301CEF" w:rsidRDefault="00301CEF" w:rsidP="00301CEF">
            <w:pPr>
              <w:pStyle w:val="BodyTextIndent"/>
              <w:tabs>
                <w:tab w:val="clear" w:pos="624"/>
                <w:tab w:val="clear" w:pos="1950"/>
                <w:tab w:val="clear" w:pos="8346"/>
              </w:tabs>
              <w:ind w:left="0" w:right="-22"/>
              <w:jc w:val="both"/>
              <w:rPr>
                <w:rFonts w:ascii="Arial" w:hAnsi="Arial" w:cs="Arial"/>
              </w:rPr>
            </w:pPr>
          </w:p>
        </w:tc>
      </w:tr>
      <w:tr w:rsidR="00583BF2" w:rsidTr="00AD2767">
        <w:tc>
          <w:tcPr>
            <w:tcW w:w="939" w:type="dxa"/>
          </w:tcPr>
          <w:p w:rsidR="00583BF2" w:rsidRDefault="00583BF2" w:rsidP="00AD2767">
            <w:pPr>
              <w:spacing w:after="200" w:line="276" w:lineRule="auto"/>
              <w:rPr>
                <w:rFonts w:ascii="Arial" w:hAnsi="Arial" w:cs="Arial"/>
                <w:sz w:val="20"/>
                <w:szCs w:val="20"/>
              </w:rPr>
            </w:pPr>
            <w:r>
              <w:rPr>
                <w:rFonts w:ascii="Arial" w:hAnsi="Arial" w:cs="Arial"/>
                <w:sz w:val="20"/>
                <w:szCs w:val="20"/>
              </w:rPr>
              <w:lastRenderedPageBreak/>
              <w:t>3.4.3</w:t>
            </w:r>
          </w:p>
        </w:tc>
        <w:tc>
          <w:tcPr>
            <w:tcW w:w="8842" w:type="dxa"/>
            <w:gridSpan w:val="4"/>
          </w:tcPr>
          <w:p w:rsidR="00583BF2" w:rsidRDefault="00583BF2" w:rsidP="0079578B">
            <w:pPr>
              <w:jc w:val="both"/>
              <w:rPr>
                <w:rFonts w:ascii="Arial" w:hAnsi="Arial" w:cs="Arial"/>
                <w:sz w:val="20"/>
                <w:szCs w:val="20"/>
              </w:rPr>
            </w:pPr>
            <w:r w:rsidRPr="00583BF2">
              <w:rPr>
                <w:rFonts w:ascii="Arial" w:hAnsi="Arial" w:cs="Arial"/>
                <w:b/>
                <w:sz w:val="20"/>
                <w:szCs w:val="20"/>
              </w:rPr>
              <w:t>Approved:</w:t>
            </w:r>
            <w:r w:rsidRPr="00583BF2">
              <w:rPr>
                <w:rFonts w:ascii="Arial" w:hAnsi="Arial" w:cs="Arial"/>
                <w:sz w:val="20"/>
                <w:szCs w:val="20"/>
              </w:rPr>
              <w:t xml:space="preserve">  </w:t>
            </w:r>
            <w:r>
              <w:rPr>
                <w:rFonts w:ascii="Arial" w:hAnsi="Arial" w:cs="Arial"/>
                <w:sz w:val="20"/>
                <w:szCs w:val="20"/>
              </w:rPr>
              <w:t xml:space="preserve">The Committee gave </w:t>
            </w:r>
            <w:r w:rsidRPr="002678D6">
              <w:rPr>
                <w:rFonts w:ascii="Arial" w:hAnsi="Arial" w:cs="Arial"/>
                <w:b/>
                <w:sz w:val="20"/>
                <w:szCs w:val="20"/>
              </w:rPr>
              <w:t>i</w:t>
            </w:r>
            <w:r w:rsidRPr="00BC1EEC">
              <w:rPr>
                <w:rFonts w:ascii="Arial" w:hAnsi="Arial" w:cs="Arial"/>
                <w:b/>
                <w:sz w:val="20"/>
                <w:szCs w:val="20"/>
              </w:rPr>
              <w:t xml:space="preserve">n principle approval </w:t>
            </w:r>
            <w:r w:rsidRPr="00583BF2">
              <w:rPr>
                <w:rFonts w:ascii="Arial" w:hAnsi="Arial" w:cs="Arial"/>
                <w:sz w:val="20"/>
                <w:szCs w:val="20"/>
              </w:rPr>
              <w:t xml:space="preserve">to </w:t>
            </w:r>
            <w:r>
              <w:rPr>
                <w:rFonts w:ascii="Arial" w:hAnsi="Arial" w:cs="Arial"/>
                <w:sz w:val="20"/>
                <w:szCs w:val="20"/>
              </w:rPr>
              <w:t xml:space="preserve">the amended wording of </w:t>
            </w:r>
            <w:r w:rsidRPr="00583BF2">
              <w:rPr>
                <w:rFonts w:ascii="Arial" w:hAnsi="Arial" w:cs="Arial"/>
                <w:i/>
                <w:sz w:val="20"/>
                <w:szCs w:val="20"/>
              </w:rPr>
              <w:t>2</w:t>
            </w:r>
            <w:r w:rsidRPr="00BC1EEC">
              <w:rPr>
                <w:rFonts w:ascii="Arial" w:hAnsi="Arial" w:cs="Arial"/>
                <w:i/>
                <w:sz w:val="20"/>
                <w:szCs w:val="20"/>
              </w:rPr>
              <w:t xml:space="preserve">A – </w:t>
            </w:r>
            <w:r>
              <w:rPr>
                <w:rFonts w:ascii="Arial" w:hAnsi="Arial" w:cs="Arial"/>
                <w:i/>
                <w:sz w:val="20"/>
                <w:szCs w:val="20"/>
              </w:rPr>
              <w:t xml:space="preserve">Awards of Bournemouth University: Policy </w:t>
            </w:r>
            <w:r>
              <w:rPr>
                <w:rFonts w:ascii="Arial" w:hAnsi="Arial" w:cs="Arial"/>
                <w:sz w:val="20"/>
                <w:szCs w:val="20"/>
              </w:rPr>
              <w:t>and recommended the paper to Senate for approval.</w:t>
            </w:r>
          </w:p>
          <w:p w:rsidR="00583BF2" w:rsidRPr="00C716EB" w:rsidRDefault="00583BF2" w:rsidP="00583BF2">
            <w:pPr>
              <w:rPr>
                <w:rFonts w:ascii="Arial" w:hAnsi="Arial" w:cs="Arial"/>
                <w:sz w:val="20"/>
                <w:szCs w:val="20"/>
              </w:rPr>
            </w:pPr>
          </w:p>
          <w:p w:rsidR="00583BF2" w:rsidRPr="00583BF2" w:rsidRDefault="00583BF2" w:rsidP="00583BF2">
            <w:pPr>
              <w:pStyle w:val="BodyTextIndent"/>
              <w:tabs>
                <w:tab w:val="clear" w:pos="624"/>
                <w:tab w:val="clear" w:pos="1950"/>
                <w:tab w:val="clear" w:pos="8346"/>
              </w:tabs>
              <w:ind w:left="0" w:right="-22"/>
              <w:rPr>
                <w:rFonts w:ascii="Arial" w:hAnsi="Arial" w:cs="Arial"/>
              </w:rPr>
            </w:pPr>
          </w:p>
        </w:tc>
      </w:tr>
      <w:tr w:rsidR="00257EE7" w:rsidTr="00AD2767">
        <w:tc>
          <w:tcPr>
            <w:tcW w:w="939" w:type="dxa"/>
          </w:tcPr>
          <w:p w:rsidR="00257EE7" w:rsidRPr="001D6442" w:rsidRDefault="001D6442">
            <w:pPr>
              <w:rPr>
                <w:rFonts w:ascii="Arial" w:hAnsi="Arial" w:cs="Arial"/>
                <w:b/>
                <w:sz w:val="20"/>
                <w:szCs w:val="20"/>
              </w:rPr>
            </w:pPr>
            <w:r>
              <w:rPr>
                <w:rFonts w:ascii="Arial" w:hAnsi="Arial" w:cs="Arial"/>
                <w:b/>
                <w:sz w:val="20"/>
                <w:szCs w:val="20"/>
              </w:rPr>
              <w:t>4.</w:t>
            </w:r>
          </w:p>
        </w:tc>
        <w:tc>
          <w:tcPr>
            <w:tcW w:w="8842" w:type="dxa"/>
            <w:gridSpan w:val="4"/>
          </w:tcPr>
          <w:p w:rsidR="00257EE7" w:rsidRDefault="001D6442" w:rsidP="001D6442">
            <w:pPr>
              <w:ind w:left="720" w:hanging="720"/>
              <w:jc w:val="both"/>
              <w:rPr>
                <w:rFonts w:ascii="Arial" w:hAnsi="Arial" w:cs="Arial"/>
                <w:b/>
                <w:sz w:val="20"/>
                <w:szCs w:val="20"/>
              </w:rPr>
            </w:pPr>
            <w:r>
              <w:rPr>
                <w:rFonts w:ascii="Arial" w:hAnsi="Arial" w:cs="Arial"/>
                <w:b/>
                <w:sz w:val="20"/>
                <w:szCs w:val="20"/>
              </w:rPr>
              <w:t>PART TWO – FOR APPROVAL AND ENDORSEMENT</w:t>
            </w:r>
          </w:p>
          <w:p w:rsidR="00C756A6" w:rsidRPr="001D6442" w:rsidRDefault="00C756A6" w:rsidP="001D6442">
            <w:pPr>
              <w:ind w:left="720" w:hanging="720"/>
              <w:jc w:val="both"/>
              <w:rPr>
                <w:rFonts w:ascii="Arial" w:hAnsi="Arial" w:cs="Arial"/>
                <w:b/>
                <w:sz w:val="20"/>
                <w:szCs w:val="20"/>
              </w:rPr>
            </w:pPr>
          </w:p>
        </w:tc>
      </w:tr>
      <w:tr w:rsidR="00257EE7" w:rsidTr="00AD2767">
        <w:tc>
          <w:tcPr>
            <w:tcW w:w="939" w:type="dxa"/>
          </w:tcPr>
          <w:p w:rsidR="00F85F32" w:rsidRDefault="001D6442">
            <w:pPr>
              <w:rPr>
                <w:rFonts w:ascii="Arial" w:hAnsi="Arial" w:cs="Arial"/>
                <w:sz w:val="20"/>
                <w:szCs w:val="20"/>
              </w:rPr>
            </w:pPr>
            <w:r>
              <w:rPr>
                <w:rFonts w:ascii="Arial" w:hAnsi="Arial" w:cs="Arial"/>
                <w:b/>
                <w:sz w:val="20"/>
                <w:szCs w:val="20"/>
              </w:rPr>
              <w:t>4.1</w:t>
            </w:r>
          </w:p>
          <w:p w:rsidR="00F85F32" w:rsidRPr="00F85F32" w:rsidRDefault="00F85F32" w:rsidP="00F85F32">
            <w:pPr>
              <w:rPr>
                <w:rFonts w:ascii="Arial" w:hAnsi="Arial" w:cs="Arial"/>
                <w:sz w:val="20"/>
                <w:szCs w:val="20"/>
              </w:rPr>
            </w:pPr>
          </w:p>
          <w:p w:rsidR="00F85F32" w:rsidRDefault="00F85F32" w:rsidP="00F85F32">
            <w:pPr>
              <w:rPr>
                <w:rFonts w:ascii="Arial" w:hAnsi="Arial" w:cs="Arial"/>
                <w:sz w:val="20"/>
                <w:szCs w:val="20"/>
              </w:rPr>
            </w:pPr>
          </w:p>
          <w:p w:rsidR="00257EE7" w:rsidRDefault="00F85F32" w:rsidP="00F85F32">
            <w:pPr>
              <w:rPr>
                <w:rFonts w:ascii="Arial" w:hAnsi="Arial" w:cs="Arial"/>
                <w:sz w:val="20"/>
                <w:szCs w:val="20"/>
              </w:rPr>
            </w:pPr>
            <w:r>
              <w:rPr>
                <w:rFonts w:ascii="Arial" w:hAnsi="Arial" w:cs="Arial"/>
                <w:sz w:val="20"/>
                <w:szCs w:val="20"/>
              </w:rPr>
              <w:t>4.1.1</w:t>
            </w:r>
          </w:p>
          <w:p w:rsidR="009A0AAF" w:rsidRDefault="009A0AAF" w:rsidP="00F85F32">
            <w:pPr>
              <w:rPr>
                <w:rFonts w:ascii="Arial" w:hAnsi="Arial" w:cs="Arial"/>
                <w:sz w:val="20"/>
                <w:szCs w:val="20"/>
              </w:rPr>
            </w:pPr>
          </w:p>
          <w:p w:rsidR="009A0AAF" w:rsidRDefault="009A0AAF" w:rsidP="00F85F32">
            <w:pPr>
              <w:rPr>
                <w:rFonts w:ascii="Arial" w:hAnsi="Arial" w:cs="Arial"/>
                <w:sz w:val="20"/>
                <w:szCs w:val="20"/>
              </w:rPr>
            </w:pPr>
          </w:p>
          <w:p w:rsidR="00F85F32" w:rsidRDefault="00F85F32" w:rsidP="00F85F32">
            <w:pPr>
              <w:rPr>
                <w:rFonts w:ascii="Arial" w:hAnsi="Arial" w:cs="Arial"/>
                <w:sz w:val="20"/>
                <w:szCs w:val="20"/>
              </w:rPr>
            </w:pPr>
          </w:p>
          <w:p w:rsidR="00F85F32" w:rsidRPr="00F85F32" w:rsidRDefault="00F85F32" w:rsidP="00F85F32">
            <w:pPr>
              <w:rPr>
                <w:rFonts w:ascii="Arial" w:hAnsi="Arial" w:cs="Arial"/>
                <w:sz w:val="20"/>
                <w:szCs w:val="20"/>
              </w:rPr>
            </w:pPr>
          </w:p>
        </w:tc>
        <w:tc>
          <w:tcPr>
            <w:tcW w:w="8842" w:type="dxa"/>
            <w:gridSpan w:val="4"/>
          </w:tcPr>
          <w:p w:rsidR="00F85F32" w:rsidRDefault="00F85F32" w:rsidP="00AD2767">
            <w:pPr>
              <w:pStyle w:val="BodyTextIndent"/>
              <w:tabs>
                <w:tab w:val="clear" w:pos="624"/>
                <w:tab w:val="clear" w:pos="1950"/>
                <w:tab w:val="clear" w:pos="8346"/>
              </w:tabs>
              <w:ind w:left="720" w:right="-22" w:hanging="720"/>
              <w:jc w:val="both"/>
              <w:rPr>
                <w:rFonts w:ascii="Arial" w:hAnsi="Arial" w:cs="Arial"/>
                <w:b/>
              </w:rPr>
            </w:pPr>
            <w:r>
              <w:rPr>
                <w:rFonts w:ascii="Arial" w:hAnsi="Arial" w:cs="Arial"/>
                <w:b/>
              </w:rPr>
              <w:t>Quality Assurance and Enhancement Group (QAEG) – New Nominations Received</w:t>
            </w:r>
          </w:p>
          <w:p w:rsidR="00257EE7" w:rsidRDefault="00F85F32" w:rsidP="00AD2767">
            <w:pPr>
              <w:pStyle w:val="BodyTextIndent"/>
              <w:tabs>
                <w:tab w:val="clear" w:pos="624"/>
                <w:tab w:val="clear" w:pos="1950"/>
                <w:tab w:val="clear" w:pos="8346"/>
              </w:tabs>
              <w:ind w:left="720" w:right="-22" w:hanging="720"/>
              <w:jc w:val="both"/>
              <w:rPr>
                <w:rFonts w:ascii="Arial" w:hAnsi="Arial" w:cs="Arial"/>
              </w:rPr>
            </w:pPr>
            <w:r>
              <w:rPr>
                <w:rFonts w:ascii="Arial" w:hAnsi="Arial" w:cs="Arial"/>
              </w:rPr>
              <w:t>(ASC-1516-64</w:t>
            </w:r>
            <w:r w:rsidR="001D6442">
              <w:rPr>
                <w:rFonts w:ascii="Arial" w:hAnsi="Arial" w:cs="Arial"/>
              </w:rPr>
              <w:t>)</w:t>
            </w:r>
          </w:p>
          <w:p w:rsidR="00AD2767" w:rsidRDefault="00AD2767" w:rsidP="00AD2767">
            <w:pPr>
              <w:pStyle w:val="BodyTextIndent"/>
              <w:tabs>
                <w:tab w:val="clear" w:pos="624"/>
                <w:tab w:val="clear" w:pos="1950"/>
                <w:tab w:val="clear" w:pos="8346"/>
              </w:tabs>
              <w:ind w:left="720" w:right="-22" w:hanging="720"/>
              <w:jc w:val="both"/>
              <w:rPr>
                <w:rFonts w:ascii="Arial" w:hAnsi="Arial" w:cs="Arial"/>
              </w:rPr>
            </w:pPr>
          </w:p>
          <w:p w:rsidR="009A0AAF" w:rsidRDefault="009A0AAF" w:rsidP="009A0AAF">
            <w:pPr>
              <w:pStyle w:val="BodyTextIndent"/>
              <w:tabs>
                <w:tab w:val="clear" w:pos="624"/>
                <w:tab w:val="clear" w:pos="1950"/>
                <w:tab w:val="clear" w:pos="8346"/>
              </w:tabs>
              <w:ind w:left="720" w:right="-22" w:hanging="720"/>
              <w:jc w:val="both"/>
              <w:rPr>
                <w:rFonts w:ascii="Arial" w:hAnsi="Arial" w:cs="Arial"/>
              </w:rPr>
            </w:pPr>
            <w:r w:rsidRPr="00995B15">
              <w:rPr>
                <w:rFonts w:ascii="Arial" w:hAnsi="Arial" w:cs="Arial"/>
              </w:rPr>
              <w:t xml:space="preserve">The nominations listed below were </w:t>
            </w:r>
            <w:r w:rsidRPr="00995B15">
              <w:rPr>
                <w:rFonts w:ascii="Arial" w:hAnsi="Arial" w:cs="Arial"/>
                <w:b/>
              </w:rPr>
              <w:t>approved</w:t>
            </w:r>
            <w:r>
              <w:rPr>
                <w:rFonts w:ascii="Arial" w:hAnsi="Arial" w:cs="Arial"/>
              </w:rPr>
              <w:t xml:space="preserve"> for QAEG membership:</w:t>
            </w:r>
          </w:p>
          <w:p w:rsidR="009A0AAF" w:rsidRDefault="009A0AAF" w:rsidP="009A0AAF">
            <w:pPr>
              <w:pStyle w:val="BodyTextIndent"/>
              <w:tabs>
                <w:tab w:val="clear" w:pos="624"/>
                <w:tab w:val="clear" w:pos="1950"/>
                <w:tab w:val="clear" w:pos="8346"/>
              </w:tabs>
              <w:ind w:left="720" w:right="-22" w:hanging="720"/>
              <w:jc w:val="both"/>
              <w:rPr>
                <w:rFonts w:ascii="Arial" w:hAnsi="Arial" w:cs="Arial"/>
              </w:rPr>
            </w:pPr>
          </w:p>
          <w:p w:rsidR="009A0AAF" w:rsidRDefault="009A0AAF" w:rsidP="009A0AAF">
            <w:pPr>
              <w:pStyle w:val="BodyTextIndent"/>
              <w:numPr>
                <w:ilvl w:val="0"/>
                <w:numId w:val="7"/>
              </w:numPr>
              <w:tabs>
                <w:tab w:val="clear" w:pos="624"/>
                <w:tab w:val="clear" w:pos="1950"/>
                <w:tab w:val="clear" w:pos="8346"/>
              </w:tabs>
              <w:ind w:right="-22"/>
              <w:jc w:val="both"/>
              <w:rPr>
                <w:rFonts w:ascii="Arial" w:hAnsi="Arial" w:cs="Arial"/>
              </w:rPr>
            </w:pPr>
            <w:r>
              <w:rPr>
                <w:rFonts w:ascii="Arial" w:hAnsi="Arial" w:cs="Arial"/>
              </w:rPr>
              <w:t>Dr Alan Kirkpatrick (FM)</w:t>
            </w:r>
          </w:p>
          <w:p w:rsidR="009A0AAF" w:rsidRDefault="009A0AAF" w:rsidP="009A0AAF">
            <w:pPr>
              <w:pStyle w:val="BodyTextIndent"/>
              <w:numPr>
                <w:ilvl w:val="0"/>
                <w:numId w:val="7"/>
              </w:numPr>
              <w:tabs>
                <w:tab w:val="clear" w:pos="624"/>
                <w:tab w:val="clear" w:pos="1950"/>
                <w:tab w:val="clear" w:pos="8346"/>
              </w:tabs>
              <w:ind w:right="-22"/>
              <w:jc w:val="both"/>
              <w:rPr>
                <w:rFonts w:ascii="Arial" w:hAnsi="Arial" w:cs="Arial"/>
              </w:rPr>
            </w:pPr>
            <w:r>
              <w:rPr>
                <w:rFonts w:ascii="Arial" w:hAnsi="Arial" w:cs="Arial"/>
              </w:rPr>
              <w:t>Dr Dermot McCarthy (FM)</w:t>
            </w:r>
          </w:p>
          <w:p w:rsidR="009A0AAF" w:rsidRDefault="009A0AAF" w:rsidP="009A0AAF">
            <w:pPr>
              <w:pStyle w:val="BodyTextIndent"/>
              <w:numPr>
                <w:ilvl w:val="0"/>
                <w:numId w:val="7"/>
              </w:numPr>
              <w:tabs>
                <w:tab w:val="clear" w:pos="624"/>
                <w:tab w:val="clear" w:pos="1950"/>
                <w:tab w:val="clear" w:pos="8346"/>
              </w:tabs>
              <w:ind w:right="-22"/>
              <w:jc w:val="both"/>
              <w:rPr>
                <w:rFonts w:ascii="Arial" w:hAnsi="Arial" w:cs="Arial"/>
              </w:rPr>
            </w:pPr>
            <w:r>
              <w:rPr>
                <w:rFonts w:ascii="Arial" w:hAnsi="Arial" w:cs="Arial"/>
              </w:rPr>
              <w:t>Dr Suranjita Mukherjee (FM)</w:t>
            </w:r>
          </w:p>
          <w:p w:rsidR="009A0AAF" w:rsidRPr="00995B15" w:rsidRDefault="009A0AAF" w:rsidP="009A0AAF">
            <w:pPr>
              <w:pStyle w:val="BodyTextIndent"/>
              <w:numPr>
                <w:ilvl w:val="0"/>
                <w:numId w:val="7"/>
              </w:numPr>
              <w:tabs>
                <w:tab w:val="clear" w:pos="624"/>
                <w:tab w:val="clear" w:pos="1950"/>
                <w:tab w:val="clear" w:pos="8346"/>
              </w:tabs>
              <w:ind w:right="-22"/>
              <w:jc w:val="both"/>
              <w:rPr>
                <w:rFonts w:ascii="Arial" w:hAnsi="Arial" w:cs="Arial"/>
              </w:rPr>
            </w:pPr>
            <w:r>
              <w:rPr>
                <w:rFonts w:ascii="Arial" w:hAnsi="Arial" w:cs="Arial"/>
              </w:rPr>
              <w:t>Melanie Coles (FST)</w:t>
            </w:r>
          </w:p>
          <w:p w:rsidR="009A0AAF" w:rsidRDefault="009A0AAF" w:rsidP="009A0AAF">
            <w:pPr>
              <w:pStyle w:val="BodyTextIndent"/>
              <w:tabs>
                <w:tab w:val="clear" w:pos="624"/>
                <w:tab w:val="clear" w:pos="1950"/>
                <w:tab w:val="clear" w:pos="8346"/>
              </w:tabs>
              <w:ind w:left="34" w:right="-22" w:hanging="34"/>
              <w:jc w:val="both"/>
              <w:rPr>
                <w:rFonts w:ascii="Arial" w:hAnsi="Arial" w:cs="Arial"/>
              </w:rPr>
            </w:pPr>
          </w:p>
          <w:p w:rsidR="00876ED3" w:rsidRDefault="00876ED3" w:rsidP="009A0AAF">
            <w:pPr>
              <w:pStyle w:val="BodyTextIndent"/>
              <w:tabs>
                <w:tab w:val="clear" w:pos="624"/>
                <w:tab w:val="clear" w:pos="1950"/>
                <w:tab w:val="clear" w:pos="8346"/>
              </w:tabs>
              <w:ind w:left="34" w:right="-22" w:hanging="34"/>
              <w:jc w:val="both"/>
              <w:rPr>
                <w:rFonts w:ascii="Arial" w:hAnsi="Arial" w:cs="Arial"/>
              </w:rPr>
            </w:pPr>
          </w:p>
        </w:tc>
      </w:tr>
      <w:tr w:rsidR="00F85F32"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E52998" w:rsidRDefault="00F85F32">
            <w:pPr>
              <w:rPr>
                <w:rFonts w:ascii="Arial" w:hAnsi="Arial" w:cs="Arial"/>
                <w:b/>
                <w:sz w:val="20"/>
                <w:szCs w:val="20"/>
              </w:rPr>
            </w:pPr>
            <w:r>
              <w:rPr>
                <w:rFonts w:ascii="Arial" w:hAnsi="Arial" w:cs="Arial"/>
                <w:b/>
                <w:sz w:val="20"/>
                <w:szCs w:val="20"/>
              </w:rPr>
              <w:t>4.2</w:t>
            </w:r>
          </w:p>
          <w:p w:rsidR="00E52998" w:rsidRPr="00F85F32" w:rsidRDefault="00E52998">
            <w:pPr>
              <w:rPr>
                <w:rFonts w:ascii="Arial" w:hAnsi="Arial" w:cs="Arial"/>
                <w:b/>
                <w:sz w:val="20"/>
                <w:szCs w:val="20"/>
              </w:rPr>
            </w:pPr>
          </w:p>
        </w:tc>
        <w:tc>
          <w:tcPr>
            <w:tcW w:w="8842" w:type="dxa"/>
            <w:gridSpan w:val="4"/>
            <w:tcBorders>
              <w:top w:val="nil"/>
              <w:left w:val="nil"/>
              <w:bottom w:val="nil"/>
              <w:right w:val="nil"/>
            </w:tcBorders>
          </w:tcPr>
          <w:p w:rsidR="00F85F32" w:rsidRPr="00F85F32" w:rsidRDefault="00F85F32" w:rsidP="002D1C04">
            <w:pPr>
              <w:pStyle w:val="BodyTextIndent"/>
              <w:tabs>
                <w:tab w:val="clear" w:pos="624"/>
                <w:tab w:val="clear" w:pos="1950"/>
                <w:tab w:val="clear" w:pos="8346"/>
              </w:tabs>
              <w:ind w:left="0" w:right="-22"/>
              <w:jc w:val="both"/>
              <w:rPr>
                <w:rFonts w:ascii="Arial" w:hAnsi="Arial" w:cs="Arial"/>
              </w:rPr>
            </w:pPr>
            <w:r>
              <w:rPr>
                <w:rFonts w:ascii="Arial" w:hAnsi="Arial" w:cs="Arial"/>
                <w:b/>
              </w:rPr>
              <w:t>New Programme/Framework Developments Proposals</w:t>
            </w:r>
          </w:p>
        </w:tc>
      </w:tr>
      <w:tr w:rsidR="00257EE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257EE7" w:rsidRPr="005C5F65" w:rsidRDefault="005C5F65">
            <w:pPr>
              <w:rPr>
                <w:rFonts w:ascii="Arial" w:hAnsi="Arial" w:cs="Arial"/>
                <w:sz w:val="20"/>
                <w:szCs w:val="20"/>
              </w:rPr>
            </w:pPr>
            <w:r>
              <w:rPr>
                <w:rFonts w:ascii="Arial" w:hAnsi="Arial" w:cs="Arial"/>
                <w:b/>
                <w:sz w:val="20"/>
                <w:szCs w:val="20"/>
              </w:rPr>
              <w:t>4.2</w:t>
            </w:r>
            <w:r w:rsidR="00F85F32">
              <w:rPr>
                <w:rFonts w:ascii="Arial" w:hAnsi="Arial" w:cs="Arial"/>
                <w:b/>
                <w:sz w:val="20"/>
                <w:szCs w:val="20"/>
              </w:rPr>
              <w:t>.1</w:t>
            </w:r>
          </w:p>
        </w:tc>
        <w:tc>
          <w:tcPr>
            <w:tcW w:w="8842" w:type="dxa"/>
            <w:gridSpan w:val="4"/>
            <w:tcBorders>
              <w:top w:val="nil"/>
              <w:left w:val="nil"/>
              <w:bottom w:val="nil"/>
              <w:right w:val="nil"/>
            </w:tcBorders>
          </w:tcPr>
          <w:p w:rsidR="00257EE7" w:rsidRDefault="00F85F32" w:rsidP="00F85F32">
            <w:pPr>
              <w:pStyle w:val="BodyTextIndent"/>
              <w:tabs>
                <w:tab w:val="clear" w:pos="624"/>
                <w:tab w:val="clear" w:pos="1950"/>
                <w:tab w:val="clear" w:pos="8346"/>
              </w:tabs>
              <w:ind w:left="0" w:right="-22"/>
              <w:jc w:val="both"/>
              <w:rPr>
                <w:rFonts w:ascii="Arial" w:hAnsi="Arial" w:cs="Arial"/>
              </w:rPr>
            </w:pPr>
            <w:r>
              <w:rPr>
                <w:rFonts w:ascii="Arial" w:hAnsi="Arial" w:cs="Arial"/>
                <w:b/>
              </w:rPr>
              <w:t>Faculty of Media &amp; Communication: New Programme Proposal – MA Creative Writing and Publishing</w:t>
            </w:r>
            <w:r w:rsidR="005C5F65">
              <w:rPr>
                <w:rFonts w:ascii="Arial" w:hAnsi="Arial" w:cs="Arial"/>
                <w:b/>
              </w:rPr>
              <w:t xml:space="preserve"> </w:t>
            </w:r>
            <w:r>
              <w:rPr>
                <w:rFonts w:ascii="Arial" w:hAnsi="Arial" w:cs="Arial"/>
              </w:rPr>
              <w:t>(ASC-1516-65)</w:t>
            </w:r>
            <w:r w:rsidR="005C5F65" w:rsidRPr="00870700">
              <w:rPr>
                <w:rFonts w:ascii="Arial" w:hAnsi="Arial" w:cs="Arial"/>
              </w:rPr>
              <w:t xml:space="preserve"> </w:t>
            </w:r>
          </w:p>
          <w:p w:rsidR="005C5F65" w:rsidRDefault="005C5F65" w:rsidP="005C5F65">
            <w:pPr>
              <w:pStyle w:val="BodyTextIndent"/>
              <w:tabs>
                <w:tab w:val="clear" w:pos="624"/>
                <w:tab w:val="clear" w:pos="1950"/>
                <w:tab w:val="clear" w:pos="8346"/>
              </w:tabs>
              <w:ind w:left="720" w:right="-22" w:hanging="720"/>
              <w:jc w:val="both"/>
              <w:rPr>
                <w:rFonts w:ascii="Arial" w:hAnsi="Arial" w:cs="Arial"/>
              </w:rPr>
            </w:pPr>
          </w:p>
        </w:tc>
      </w:tr>
      <w:tr w:rsidR="00E52998"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E52998" w:rsidRPr="00E52998" w:rsidRDefault="00E52998">
            <w:pPr>
              <w:rPr>
                <w:rFonts w:ascii="Arial" w:hAnsi="Arial" w:cs="Arial"/>
                <w:sz w:val="20"/>
                <w:szCs w:val="20"/>
              </w:rPr>
            </w:pPr>
            <w:r w:rsidRPr="00E52998">
              <w:rPr>
                <w:rFonts w:ascii="Arial" w:hAnsi="Arial" w:cs="Arial"/>
                <w:sz w:val="20"/>
                <w:szCs w:val="20"/>
              </w:rPr>
              <w:t>4.2.1.1</w:t>
            </w:r>
          </w:p>
          <w:p w:rsidR="00E52998" w:rsidRDefault="00E52998">
            <w:pPr>
              <w:rPr>
                <w:rFonts w:ascii="Arial" w:hAnsi="Arial" w:cs="Arial"/>
                <w:b/>
                <w:sz w:val="20"/>
                <w:szCs w:val="20"/>
              </w:rPr>
            </w:pPr>
          </w:p>
        </w:tc>
        <w:tc>
          <w:tcPr>
            <w:tcW w:w="8842" w:type="dxa"/>
            <w:gridSpan w:val="4"/>
            <w:tcBorders>
              <w:top w:val="nil"/>
              <w:left w:val="nil"/>
              <w:bottom w:val="nil"/>
              <w:right w:val="nil"/>
            </w:tcBorders>
          </w:tcPr>
          <w:p w:rsidR="00E52998" w:rsidRDefault="00E52998" w:rsidP="002D1C04">
            <w:pPr>
              <w:pStyle w:val="BodyTextIndent"/>
              <w:tabs>
                <w:tab w:val="clear" w:pos="624"/>
                <w:tab w:val="clear" w:pos="1950"/>
                <w:tab w:val="clear" w:pos="8346"/>
              </w:tabs>
              <w:ind w:left="0" w:right="-22"/>
              <w:jc w:val="both"/>
              <w:rPr>
                <w:rFonts w:ascii="Arial" w:hAnsi="Arial" w:cs="Arial"/>
              </w:rPr>
            </w:pPr>
            <w:r>
              <w:rPr>
                <w:rFonts w:ascii="Arial" w:hAnsi="Arial" w:cs="Arial"/>
              </w:rPr>
              <w:t>In response to market demand and the expertise within the School of Journalism, English and Communicat</w:t>
            </w:r>
            <w:r w:rsidR="00601770">
              <w:rPr>
                <w:rFonts w:ascii="Arial" w:hAnsi="Arial" w:cs="Arial"/>
              </w:rPr>
              <w:t xml:space="preserve">ion, the proposed programme would open up areas of digital publishing where students could be empowered by being both content providers and </w:t>
            </w:r>
            <w:r w:rsidR="009D40C4">
              <w:rPr>
                <w:rFonts w:ascii="Arial" w:hAnsi="Arial" w:cs="Arial"/>
              </w:rPr>
              <w:t xml:space="preserve">publishers </w:t>
            </w:r>
            <w:r w:rsidR="00601770">
              <w:rPr>
                <w:rFonts w:ascii="Arial" w:hAnsi="Arial" w:cs="Arial"/>
              </w:rPr>
              <w:t xml:space="preserve">of their own creative output.  There were currently only three institutions in the UK offering a combined MA in </w:t>
            </w:r>
            <w:r w:rsidR="009D40C4">
              <w:rPr>
                <w:rFonts w:ascii="Arial" w:hAnsi="Arial" w:cs="Arial"/>
              </w:rPr>
              <w:t>c</w:t>
            </w:r>
            <w:r w:rsidR="00601770">
              <w:rPr>
                <w:rFonts w:ascii="Arial" w:hAnsi="Arial" w:cs="Arial"/>
              </w:rPr>
              <w:t xml:space="preserve">reative </w:t>
            </w:r>
            <w:r w:rsidR="009D40C4">
              <w:rPr>
                <w:rFonts w:ascii="Arial" w:hAnsi="Arial" w:cs="Arial"/>
              </w:rPr>
              <w:t>w</w:t>
            </w:r>
            <w:r w:rsidR="00601770">
              <w:rPr>
                <w:rFonts w:ascii="Arial" w:hAnsi="Arial" w:cs="Arial"/>
              </w:rPr>
              <w:t xml:space="preserve">riting and </w:t>
            </w:r>
            <w:r w:rsidR="009D40C4">
              <w:rPr>
                <w:rFonts w:ascii="Arial" w:hAnsi="Arial" w:cs="Arial"/>
              </w:rPr>
              <w:t>p</w:t>
            </w:r>
            <w:r w:rsidR="00601770">
              <w:rPr>
                <w:rFonts w:ascii="Arial" w:hAnsi="Arial" w:cs="Arial"/>
              </w:rPr>
              <w:t xml:space="preserve">ublishing </w:t>
            </w:r>
            <w:r w:rsidR="002D1C04">
              <w:rPr>
                <w:rFonts w:ascii="Arial" w:hAnsi="Arial" w:cs="Arial"/>
              </w:rPr>
              <w:t>programme</w:t>
            </w:r>
            <w:r w:rsidR="009D40C4">
              <w:rPr>
                <w:rFonts w:ascii="Arial" w:hAnsi="Arial" w:cs="Arial"/>
              </w:rPr>
              <w:t>;</w:t>
            </w:r>
            <w:r w:rsidR="00601770">
              <w:rPr>
                <w:rFonts w:ascii="Arial" w:hAnsi="Arial" w:cs="Arial"/>
              </w:rPr>
              <w:t xml:space="preserve"> none </w:t>
            </w:r>
            <w:r w:rsidR="009D40C4">
              <w:rPr>
                <w:rFonts w:ascii="Arial" w:hAnsi="Arial" w:cs="Arial"/>
              </w:rPr>
              <w:t xml:space="preserve">of these were </w:t>
            </w:r>
            <w:r w:rsidR="00601770">
              <w:rPr>
                <w:rFonts w:ascii="Arial" w:hAnsi="Arial" w:cs="Arial"/>
              </w:rPr>
              <w:t xml:space="preserve">available on the south coast of the UK. The programme would offer elements of both creative writing and publishing in preparation for the new publishing model, </w:t>
            </w:r>
            <w:r w:rsidR="009D40C4">
              <w:rPr>
                <w:rFonts w:ascii="Arial" w:hAnsi="Arial" w:cs="Arial"/>
              </w:rPr>
              <w:t xml:space="preserve">which involves </w:t>
            </w:r>
            <w:r w:rsidR="00601770">
              <w:rPr>
                <w:rFonts w:ascii="Arial" w:hAnsi="Arial" w:cs="Arial"/>
              </w:rPr>
              <w:t>less reliance on traditional publishing gatekeepers and more independent publishing.</w:t>
            </w:r>
          </w:p>
          <w:p w:rsidR="00E52998" w:rsidRPr="00E52998" w:rsidRDefault="00E52998" w:rsidP="00E52998">
            <w:pPr>
              <w:pStyle w:val="BodyTextIndent"/>
              <w:tabs>
                <w:tab w:val="clear" w:pos="624"/>
                <w:tab w:val="clear" w:pos="1950"/>
                <w:tab w:val="clear" w:pos="8346"/>
              </w:tabs>
              <w:ind w:left="0" w:right="-22"/>
              <w:jc w:val="both"/>
              <w:rPr>
                <w:rFonts w:ascii="Arial" w:hAnsi="Arial" w:cs="Arial"/>
              </w:rPr>
            </w:pPr>
          </w:p>
        </w:tc>
      </w:tr>
      <w:tr w:rsidR="00257EE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257EE7" w:rsidRDefault="00601770">
            <w:pPr>
              <w:rPr>
                <w:rFonts w:ascii="Arial" w:hAnsi="Arial" w:cs="Arial"/>
                <w:sz w:val="20"/>
                <w:szCs w:val="20"/>
              </w:rPr>
            </w:pPr>
            <w:r>
              <w:rPr>
                <w:rFonts w:ascii="Arial" w:hAnsi="Arial" w:cs="Arial"/>
                <w:sz w:val="20"/>
                <w:szCs w:val="20"/>
              </w:rPr>
              <w:t>4.2.1.2</w:t>
            </w:r>
          </w:p>
          <w:p w:rsidR="00F85F32" w:rsidRDefault="00F85F32">
            <w:pPr>
              <w:rPr>
                <w:rFonts w:ascii="Arial" w:hAnsi="Arial" w:cs="Arial"/>
                <w:sz w:val="20"/>
                <w:szCs w:val="20"/>
              </w:rPr>
            </w:pPr>
          </w:p>
          <w:p w:rsidR="00776CE6" w:rsidRDefault="00776CE6">
            <w:pPr>
              <w:rPr>
                <w:rFonts w:ascii="Arial" w:hAnsi="Arial" w:cs="Arial"/>
                <w:sz w:val="20"/>
                <w:szCs w:val="20"/>
              </w:rPr>
            </w:pPr>
          </w:p>
          <w:p w:rsidR="00776CE6" w:rsidRPr="00776CE6" w:rsidRDefault="00776CE6" w:rsidP="00776CE6">
            <w:pPr>
              <w:rPr>
                <w:rFonts w:ascii="Arial" w:hAnsi="Arial" w:cs="Arial"/>
                <w:sz w:val="20"/>
                <w:szCs w:val="20"/>
              </w:rPr>
            </w:pPr>
          </w:p>
          <w:p w:rsidR="00776CE6" w:rsidRDefault="00776CE6" w:rsidP="00776CE6">
            <w:pPr>
              <w:rPr>
                <w:rFonts w:ascii="Arial" w:hAnsi="Arial" w:cs="Arial"/>
                <w:sz w:val="20"/>
                <w:szCs w:val="20"/>
              </w:rPr>
            </w:pPr>
          </w:p>
          <w:p w:rsidR="007E4453" w:rsidRDefault="007E4453" w:rsidP="00776CE6">
            <w:pPr>
              <w:rPr>
                <w:rFonts w:ascii="Arial" w:hAnsi="Arial" w:cs="Arial"/>
                <w:sz w:val="20"/>
                <w:szCs w:val="20"/>
              </w:rPr>
            </w:pPr>
          </w:p>
          <w:p w:rsidR="007E4453" w:rsidRDefault="007E4453" w:rsidP="00776CE6">
            <w:pPr>
              <w:rPr>
                <w:rFonts w:ascii="Arial" w:hAnsi="Arial" w:cs="Arial"/>
                <w:sz w:val="20"/>
                <w:szCs w:val="20"/>
              </w:rPr>
            </w:pPr>
          </w:p>
          <w:p w:rsidR="007E4453" w:rsidRDefault="007E4453" w:rsidP="00776CE6">
            <w:pPr>
              <w:rPr>
                <w:rFonts w:ascii="Arial" w:hAnsi="Arial" w:cs="Arial"/>
                <w:sz w:val="20"/>
                <w:szCs w:val="20"/>
              </w:rPr>
            </w:pPr>
          </w:p>
          <w:p w:rsidR="007E4453" w:rsidRDefault="007E4453" w:rsidP="00776CE6">
            <w:pPr>
              <w:rPr>
                <w:rFonts w:ascii="Arial" w:hAnsi="Arial" w:cs="Arial"/>
                <w:sz w:val="20"/>
                <w:szCs w:val="20"/>
              </w:rPr>
            </w:pPr>
          </w:p>
          <w:p w:rsidR="00F85F32" w:rsidRPr="00776CE6" w:rsidRDefault="00776CE6" w:rsidP="00776CE6">
            <w:pPr>
              <w:rPr>
                <w:rFonts w:ascii="Arial" w:hAnsi="Arial" w:cs="Arial"/>
                <w:sz w:val="20"/>
                <w:szCs w:val="20"/>
              </w:rPr>
            </w:pPr>
            <w:r>
              <w:rPr>
                <w:rFonts w:ascii="Arial" w:hAnsi="Arial" w:cs="Arial"/>
                <w:sz w:val="20"/>
                <w:szCs w:val="20"/>
              </w:rPr>
              <w:t>4.2.1.3</w:t>
            </w:r>
          </w:p>
        </w:tc>
        <w:tc>
          <w:tcPr>
            <w:tcW w:w="8842" w:type="dxa"/>
            <w:gridSpan w:val="4"/>
            <w:tcBorders>
              <w:top w:val="nil"/>
              <w:left w:val="nil"/>
              <w:bottom w:val="nil"/>
              <w:right w:val="nil"/>
            </w:tcBorders>
          </w:tcPr>
          <w:p w:rsidR="007E4453" w:rsidRPr="007E4453" w:rsidRDefault="007E4453" w:rsidP="00693812">
            <w:pPr>
              <w:jc w:val="both"/>
              <w:rPr>
                <w:rFonts w:ascii="Arial" w:hAnsi="Arial" w:cs="Arial"/>
                <w:color w:val="000000" w:themeColor="text1"/>
                <w:sz w:val="20"/>
                <w:szCs w:val="20"/>
              </w:rPr>
            </w:pPr>
            <w:r w:rsidRPr="007E4453">
              <w:rPr>
                <w:rFonts w:ascii="Arial" w:hAnsi="Arial" w:cs="Arial"/>
                <w:color w:val="000000" w:themeColor="text1"/>
                <w:sz w:val="20"/>
                <w:szCs w:val="20"/>
              </w:rPr>
              <w:t xml:space="preserve">First stage research indicated approximately 50 Creative </w:t>
            </w:r>
            <w:r>
              <w:rPr>
                <w:rFonts w:ascii="Arial" w:hAnsi="Arial" w:cs="Arial"/>
                <w:color w:val="000000" w:themeColor="text1"/>
                <w:sz w:val="20"/>
                <w:szCs w:val="20"/>
              </w:rPr>
              <w:t>Writing courses, of these only three</w:t>
            </w:r>
            <w:r w:rsidRPr="007E4453">
              <w:rPr>
                <w:rFonts w:ascii="Arial" w:hAnsi="Arial" w:cs="Arial"/>
                <w:color w:val="000000" w:themeColor="text1"/>
                <w:sz w:val="20"/>
                <w:szCs w:val="20"/>
              </w:rPr>
              <w:t xml:space="preserve"> institutions offered a combined ‘MA Creative Writing and Publishing’ course. Second stage research amongst BU students and alumni (306 respondents) who may progress onto this cour</w:t>
            </w:r>
            <w:r>
              <w:rPr>
                <w:rFonts w:ascii="Arial" w:hAnsi="Arial" w:cs="Arial"/>
                <w:color w:val="000000" w:themeColor="text1"/>
                <w:sz w:val="20"/>
                <w:szCs w:val="20"/>
              </w:rPr>
              <w:t>se indicated that the title of </w:t>
            </w:r>
            <w:r w:rsidRPr="007E4453">
              <w:rPr>
                <w:rFonts w:ascii="Arial" w:hAnsi="Arial" w:cs="Arial"/>
                <w:color w:val="000000" w:themeColor="text1"/>
                <w:sz w:val="20"/>
                <w:szCs w:val="20"/>
              </w:rPr>
              <w:t xml:space="preserve">MA Creative Writing </w:t>
            </w:r>
            <w:r>
              <w:rPr>
                <w:rFonts w:ascii="Arial" w:hAnsi="Arial" w:cs="Arial"/>
                <w:color w:val="000000" w:themeColor="text1"/>
                <w:sz w:val="20"/>
                <w:szCs w:val="20"/>
              </w:rPr>
              <w:t>and</w:t>
            </w:r>
            <w:r w:rsidRPr="007E4453">
              <w:rPr>
                <w:rFonts w:ascii="Arial" w:hAnsi="Arial" w:cs="Arial"/>
                <w:color w:val="000000" w:themeColor="text1"/>
                <w:sz w:val="20"/>
                <w:szCs w:val="20"/>
              </w:rPr>
              <w:t xml:space="preserve"> Publishing was by far the most appealing title with 47% indicating this was their preferred title of 5 options. </w:t>
            </w:r>
            <w:r>
              <w:rPr>
                <w:rFonts w:ascii="Arial" w:hAnsi="Arial" w:cs="Arial"/>
                <w:color w:val="000000" w:themeColor="text1"/>
                <w:sz w:val="20"/>
                <w:szCs w:val="20"/>
              </w:rPr>
              <w:t xml:space="preserve"> </w:t>
            </w:r>
            <w:r w:rsidRPr="007E4453">
              <w:rPr>
                <w:rFonts w:ascii="Arial" w:hAnsi="Arial" w:cs="Arial"/>
                <w:color w:val="000000" w:themeColor="text1"/>
                <w:sz w:val="20"/>
                <w:szCs w:val="20"/>
              </w:rPr>
              <w:t>This implie</w:t>
            </w:r>
            <w:r>
              <w:rPr>
                <w:rFonts w:ascii="Arial" w:hAnsi="Arial" w:cs="Arial"/>
                <w:color w:val="000000" w:themeColor="text1"/>
                <w:sz w:val="20"/>
                <w:szCs w:val="20"/>
              </w:rPr>
              <w:t>d</w:t>
            </w:r>
            <w:r w:rsidRPr="007E4453">
              <w:rPr>
                <w:rFonts w:ascii="Arial" w:hAnsi="Arial" w:cs="Arial"/>
                <w:color w:val="000000" w:themeColor="text1"/>
                <w:sz w:val="20"/>
                <w:szCs w:val="20"/>
              </w:rPr>
              <w:t xml:space="preserve"> a potential niche area rather than a product that has no market appeal.  It is important to note that BU students/</w:t>
            </w:r>
            <w:r>
              <w:rPr>
                <w:rFonts w:ascii="Arial" w:hAnsi="Arial" w:cs="Arial"/>
                <w:color w:val="000000" w:themeColor="text1"/>
                <w:sz w:val="20"/>
                <w:szCs w:val="20"/>
              </w:rPr>
              <w:t xml:space="preserve"> </w:t>
            </w:r>
            <w:r w:rsidRPr="007E4453">
              <w:rPr>
                <w:rFonts w:ascii="Arial" w:hAnsi="Arial" w:cs="Arial"/>
                <w:color w:val="000000" w:themeColor="text1"/>
                <w:sz w:val="20"/>
                <w:szCs w:val="20"/>
              </w:rPr>
              <w:t xml:space="preserve">graduates are one of the key markets BU would target, 40% of UK PG students, based on PG </w:t>
            </w:r>
            <w:proofErr w:type="spellStart"/>
            <w:r w:rsidRPr="007E4453">
              <w:rPr>
                <w:rFonts w:ascii="Arial" w:hAnsi="Arial" w:cs="Arial"/>
                <w:color w:val="000000" w:themeColor="text1"/>
                <w:sz w:val="20"/>
                <w:szCs w:val="20"/>
              </w:rPr>
              <w:t>Freshers</w:t>
            </w:r>
            <w:r>
              <w:rPr>
                <w:rFonts w:ascii="Arial" w:hAnsi="Arial" w:cs="Arial"/>
                <w:color w:val="000000" w:themeColor="text1"/>
                <w:sz w:val="20"/>
                <w:szCs w:val="20"/>
              </w:rPr>
              <w:t>’</w:t>
            </w:r>
            <w:proofErr w:type="spellEnd"/>
            <w:r w:rsidRPr="007E4453">
              <w:rPr>
                <w:rFonts w:ascii="Arial" w:hAnsi="Arial" w:cs="Arial"/>
                <w:color w:val="000000" w:themeColor="text1"/>
                <w:sz w:val="20"/>
                <w:szCs w:val="20"/>
              </w:rPr>
              <w:t xml:space="preserve"> survey previously studied a BU course.</w:t>
            </w:r>
          </w:p>
          <w:p w:rsidR="005C5F65" w:rsidRDefault="00776CE6" w:rsidP="00776CE6">
            <w:pPr>
              <w:pStyle w:val="BodyTextIndent"/>
              <w:tabs>
                <w:tab w:val="clear" w:pos="624"/>
                <w:tab w:val="clear" w:pos="1950"/>
                <w:tab w:val="clear" w:pos="8346"/>
              </w:tabs>
              <w:ind w:left="0" w:right="-22"/>
              <w:jc w:val="both"/>
              <w:rPr>
                <w:rFonts w:ascii="Arial" w:hAnsi="Arial" w:cs="Arial"/>
              </w:rPr>
            </w:pPr>
            <w:r>
              <w:rPr>
                <w:rFonts w:ascii="Arial" w:hAnsi="Arial" w:cs="Arial"/>
              </w:rPr>
              <w:t xml:space="preserve"> </w:t>
            </w:r>
          </w:p>
          <w:p w:rsidR="00776CE6" w:rsidRDefault="00776CE6" w:rsidP="002D1C04">
            <w:pPr>
              <w:pStyle w:val="BodyTextIndent"/>
              <w:tabs>
                <w:tab w:val="clear" w:pos="624"/>
                <w:tab w:val="clear" w:pos="1950"/>
                <w:tab w:val="clear" w:pos="8346"/>
              </w:tabs>
              <w:ind w:left="0" w:right="-22"/>
              <w:jc w:val="both"/>
              <w:rPr>
                <w:rFonts w:ascii="Arial" w:hAnsi="Arial" w:cs="Arial"/>
              </w:rPr>
            </w:pPr>
            <w:r w:rsidRPr="000E58BD">
              <w:rPr>
                <w:rFonts w:ascii="Arial" w:hAnsi="Arial" w:cs="Arial"/>
                <w:b/>
              </w:rPr>
              <w:t>App</w:t>
            </w:r>
            <w:r>
              <w:rPr>
                <w:rFonts w:ascii="Arial" w:hAnsi="Arial" w:cs="Arial"/>
                <w:b/>
              </w:rPr>
              <w:t>r</w:t>
            </w:r>
            <w:r w:rsidRPr="000E58BD">
              <w:rPr>
                <w:rFonts w:ascii="Arial" w:hAnsi="Arial" w:cs="Arial"/>
                <w:b/>
              </w:rPr>
              <w:t>oved:</w:t>
            </w:r>
            <w:r>
              <w:rPr>
                <w:rFonts w:ascii="Arial" w:hAnsi="Arial" w:cs="Arial"/>
              </w:rPr>
              <w:t xml:space="preserve">  The Committee approved the proposed MA Creative Writing and Publishing programme for development.  </w:t>
            </w:r>
          </w:p>
          <w:p w:rsidR="00774798" w:rsidRDefault="00774798" w:rsidP="00776CE6">
            <w:pPr>
              <w:pStyle w:val="BodyTextIndent"/>
              <w:tabs>
                <w:tab w:val="clear" w:pos="624"/>
                <w:tab w:val="clear" w:pos="1950"/>
                <w:tab w:val="clear" w:pos="8346"/>
              </w:tabs>
              <w:ind w:left="720" w:right="-22" w:hanging="720"/>
              <w:jc w:val="both"/>
              <w:rPr>
                <w:rFonts w:ascii="Arial" w:hAnsi="Arial" w:cs="Arial"/>
              </w:rPr>
            </w:pPr>
          </w:p>
          <w:p w:rsidR="00776CE6" w:rsidRDefault="00776CE6" w:rsidP="00776CE6">
            <w:pPr>
              <w:pStyle w:val="BodyTextIndent"/>
              <w:tabs>
                <w:tab w:val="clear" w:pos="624"/>
                <w:tab w:val="clear" w:pos="1950"/>
                <w:tab w:val="clear" w:pos="8346"/>
              </w:tabs>
              <w:ind w:left="720" w:right="-22" w:hanging="720"/>
              <w:jc w:val="both"/>
              <w:rPr>
                <w:rFonts w:ascii="Arial" w:hAnsi="Arial" w:cs="Arial"/>
              </w:rPr>
            </w:pPr>
          </w:p>
        </w:tc>
      </w:tr>
      <w:tr w:rsidR="001D6442" w:rsidTr="00AD2767">
        <w:trPr>
          <w:gridAfter w:val="1"/>
          <w:wAfter w:w="142" w:type="dxa"/>
        </w:trPr>
        <w:tc>
          <w:tcPr>
            <w:tcW w:w="939" w:type="dxa"/>
          </w:tcPr>
          <w:p w:rsidR="001D6442" w:rsidRPr="004744CD" w:rsidRDefault="00F85F32">
            <w:pPr>
              <w:rPr>
                <w:rFonts w:ascii="Arial" w:hAnsi="Arial" w:cs="Arial"/>
                <w:b/>
                <w:sz w:val="20"/>
                <w:szCs w:val="20"/>
              </w:rPr>
            </w:pPr>
            <w:r>
              <w:rPr>
                <w:rFonts w:ascii="Arial" w:hAnsi="Arial" w:cs="Arial"/>
                <w:b/>
                <w:sz w:val="20"/>
                <w:szCs w:val="20"/>
              </w:rPr>
              <w:t>4.2.2</w:t>
            </w:r>
          </w:p>
        </w:tc>
        <w:tc>
          <w:tcPr>
            <w:tcW w:w="8700" w:type="dxa"/>
            <w:gridSpan w:val="3"/>
          </w:tcPr>
          <w:p w:rsidR="004744CD" w:rsidRDefault="00F85F32" w:rsidP="00B045F2">
            <w:pPr>
              <w:rPr>
                <w:rFonts w:ascii="Arial" w:hAnsi="Arial" w:cs="Arial"/>
                <w:sz w:val="20"/>
                <w:szCs w:val="20"/>
              </w:rPr>
            </w:pPr>
            <w:r>
              <w:rPr>
                <w:rFonts w:ascii="Arial" w:hAnsi="Arial" w:cs="Arial"/>
                <w:b/>
                <w:sz w:val="20"/>
                <w:szCs w:val="20"/>
              </w:rPr>
              <w:t>Faculty of Science &amp; Technology: Change of Title – MSc Forensic and Investigative Forensic Psychology to MSc Investigative Forensic Psychology</w:t>
            </w:r>
            <w:r w:rsidR="004744CD">
              <w:rPr>
                <w:rFonts w:ascii="Arial" w:hAnsi="Arial" w:cs="Arial"/>
                <w:b/>
                <w:sz w:val="20"/>
                <w:szCs w:val="20"/>
              </w:rPr>
              <w:t xml:space="preserve"> </w:t>
            </w:r>
            <w:r>
              <w:rPr>
                <w:rFonts w:ascii="Arial" w:hAnsi="Arial" w:cs="Arial"/>
                <w:sz w:val="20"/>
                <w:szCs w:val="20"/>
              </w:rPr>
              <w:t>(ASC-1516-66</w:t>
            </w:r>
            <w:r w:rsidR="004744CD">
              <w:rPr>
                <w:rFonts w:ascii="Arial" w:hAnsi="Arial" w:cs="Arial"/>
                <w:sz w:val="20"/>
                <w:szCs w:val="20"/>
              </w:rPr>
              <w:t>)</w:t>
            </w:r>
          </w:p>
          <w:p w:rsidR="00B045F2" w:rsidRPr="004744CD" w:rsidRDefault="00B045F2" w:rsidP="00B045F2">
            <w:pPr>
              <w:rPr>
                <w:rFonts w:ascii="Arial" w:hAnsi="Arial" w:cs="Arial"/>
                <w:sz w:val="20"/>
                <w:szCs w:val="20"/>
              </w:rPr>
            </w:pPr>
          </w:p>
        </w:tc>
      </w:tr>
      <w:tr w:rsidR="004744CD" w:rsidTr="00AD2767">
        <w:trPr>
          <w:gridAfter w:val="1"/>
          <w:wAfter w:w="142" w:type="dxa"/>
        </w:trPr>
        <w:tc>
          <w:tcPr>
            <w:tcW w:w="939" w:type="dxa"/>
          </w:tcPr>
          <w:p w:rsidR="004744CD" w:rsidRDefault="00F85F32">
            <w:pPr>
              <w:rPr>
                <w:rFonts w:ascii="Arial" w:hAnsi="Arial" w:cs="Arial"/>
                <w:sz w:val="20"/>
                <w:szCs w:val="20"/>
              </w:rPr>
            </w:pPr>
            <w:r>
              <w:rPr>
                <w:rFonts w:ascii="Arial" w:hAnsi="Arial" w:cs="Arial"/>
                <w:sz w:val="20"/>
                <w:szCs w:val="20"/>
              </w:rPr>
              <w:t>4.2.2.1</w:t>
            </w:r>
          </w:p>
          <w:p w:rsidR="00F85F32" w:rsidRDefault="00F85F32">
            <w:pPr>
              <w:rPr>
                <w:rFonts w:ascii="Arial" w:hAnsi="Arial" w:cs="Arial"/>
                <w:sz w:val="20"/>
                <w:szCs w:val="20"/>
              </w:rPr>
            </w:pPr>
          </w:p>
        </w:tc>
        <w:tc>
          <w:tcPr>
            <w:tcW w:w="8700" w:type="dxa"/>
            <w:gridSpan w:val="3"/>
          </w:tcPr>
          <w:p w:rsidR="0077539F" w:rsidRPr="00E52998" w:rsidRDefault="00E52998" w:rsidP="002D1C04">
            <w:pPr>
              <w:pStyle w:val="BodyTextIndent"/>
              <w:tabs>
                <w:tab w:val="clear" w:pos="624"/>
                <w:tab w:val="clear" w:pos="1950"/>
                <w:tab w:val="clear" w:pos="8346"/>
              </w:tabs>
              <w:ind w:left="0" w:right="-22"/>
              <w:jc w:val="both"/>
              <w:rPr>
                <w:rFonts w:ascii="Arial" w:hAnsi="Arial" w:cs="Arial"/>
                <w:color w:val="000000" w:themeColor="text1"/>
              </w:rPr>
            </w:pPr>
            <w:r>
              <w:rPr>
                <w:rFonts w:ascii="Arial" w:hAnsi="Arial" w:cs="Arial"/>
              </w:rPr>
              <w:t>As the result of a programme approval</w:t>
            </w:r>
            <w:r w:rsidR="000E58BD">
              <w:rPr>
                <w:rFonts w:ascii="Arial" w:hAnsi="Arial" w:cs="Arial"/>
              </w:rPr>
              <w:t xml:space="preserve">, a recommendation had been made to change the programme title from ‘MSc Forensic and Investigative Psychology’ to ‘MSc Investigative Forensic Psychology’ due to the programme having </w:t>
            </w:r>
            <w:r w:rsidR="005D7CF7">
              <w:rPr>
                <w:rFonts w:ascii="Arial" w:hAnsi="Arial" w:cs="Arial"/>
              </w:rPr>
              <w:t xml:space="preserve">more of </w:t>
            </w:r>
            <w:r w:rsidR="000E58BD">
              <w:rPr>
                <w:rFonts w:ascii="Arial" w:hAnsi="Arial" w:cs="Arial"/>
              </w:rPr>
              <w:t xml:space="preserve">an investigative psychology focus, and only briefly considering other areas of forensic psychology. The original title approved by </w:t>
            </w:r>
            <w:r w:rsidR="000E58BD" w:rsidRPr="00E52998">
              <w:rPr>
                <w:rFonts w:ascii="Arial" w:hAnsi="Arial" w:cs="Arial"/>
                <w:color w:val="000000" w:themeColor="text1"/>
              </w:rPr>
              <w:t>the Academic Standards Committee on 7 October 2015 may misle</w:t>
            </w:r>
            <w:r w:rsidR="002D1C04">
              <w:rPr>
                <w:rFonts w:ascii="Arial" w:hAnsi="Arial" w:cs="Arial"/>
                <w:color w:val="000000" w:themeColor="text1"/>
              </w:rPr>
              <w:t>a</w:t>
            </w:r>
            <w:r w:rsidR="000E58BD" w:rsidRPr="00E52998">
              <w:rPr>
                <w:rFonts w:ascii="Arial" w:hAnsi="Arial" w:cs="Arial"/>
                <w:color w:val="000000" w:themeColor="text1"/>
              </w:rPr>
              <w:t>d potential recruits.</w:t>
            </w:r>
            <w:r w:rsidRPr="00E52998">
              <w:rPr>
                <w:rFonts w:ascii="Arial" w:hAnsi="Arial" w:cs="Arial"/>
                <w:color w:val="000000" w:themeColor="text1"/>
              </w:rPr>
              <w:t xml:space="preserve"> The Committee </w:t>
            </w:r>
            <w:r w:rsidR="00D72F2B">
              <w:rPr>
                <w:rFonts w:ascii="Arial" w:hAnsi="Arial" w:cs="Arial"/>
                <w:color w:val="000000" w:themeColor="text1"/>
              </w:rPr>
              <w:t xml:space="preserve">approved the amended title and </w:t>
            </w:r>
            <w:r w:rsidRPr="00E52998">
              <w:rPr>
                <w:rFonts w:ascii="Arial" w:hAnsi="Arial" w:cs="Arial"/>
                <w:color w:val="000000" w:themeColor="text1"/>
              </w:rPr>
              <w:t>confirmed the change would be with immediate effect as the programme had already been through validation.</w:t>
            </w:r>
          </w:p>
          <w:p w:rsidR="000E58BD" w:rsidRDefault="000E58BD" w:rsidP="000E58BD">
            <w:pPr>
              <w:pStyle w:val="BodyTextIndent"/>
              <w:tabs>
                <w:tab w:val="clear" w:pos="624"/>
                <w:tab w:val="clear" w:pos="1950"/>
                <w:tab w:val="clear" w:pos="8346"/>
              </w:tabs>
              <w:ind w:left="0" w:right="-22"/>
              <w:jc w:val="both"/>
              <w:rPr>
                <w:rFonts w:ascii="Arial" w:hAnsi="Arial" w:cs="Arial"/>
              </w:rPr>
            </w:pPr>
          </w:p>
        </w:tc>
      </w:tr>
      <w:tr w:rsidR="000E58BD" w:rsidTr="00AD2767">
        <w:trPr>
          <w:gridAfter w:val="1"/>
          <w:wAfter w:w="142" w:type="dxa"/>
        </w:trPr>
        <w:tc>
          <w:tcPr>
            <w:tcW w:w="939" w:type="dxa"/>
          </w:tcPr>
          <w:p w:rsidR="000E58BD" w:rsidRDefault="0079578B">
            <w:pPr>
              <w:rPr>
                <w:rFonts w:ascii="Arial" w:hAnsi="Arial" w:cs="Arial"/>
                <w:sz w:val="20"/>
                <w:szCs w:val="20"/>
              </w:rPr>
            </w:pPr>
            <w:r>
              <w:rPr>
                <w:rFonts w:ascii="Arial" w:hAnsi="Arial" w:cs="Arial"/>
                <w:sz w:val="20"/>
                <w:szCs w:val="20"/>
              </w:rPr>
              <w:t>4.2.2.2</w:t>
            </w:r>
          </w:p>
          <w:p w:rsidR="000E58BD" w:rsidRDefault="000E58BD">
            <w:pPr>
              <w:rPr>
                <w:rFonts w:ascii="Arial" w:hAnsi="Arial" w:cs="Arial"/>
                <w:sz w:val="20"/>
                <w:szCs w:val="20"/>
              </w:rPr>
            </w:pPr>
          </w:p>
        </w:tc>
        <w:tc>
          <w:tcPr>
            <w:tcW w:w="8700" w:type="dxa"/>
            <w:gridSpan w:val="3"/>
          </w:tcPr>
          <w:p w:rsidR="008A5BCB" w:rsidRDefault="000E58BD" w:rsidP="006D7CC1">
            <w:pPr>
              <w:pStyle w:val="BodyTextIndent"/>
              <w:tabs>
                <w:tab w:val="clear" w:pos="624"/>
                <w:tab w:val="clear" w:pos="1950"/>
                <w:tab w:val="clear" w:pos="8346"/>
              </w:tabs>
              <w:ind w:left="0" w:right="-22"/>
              <w:jc w:val="both"/>
              <w:rPr>
                <w:rFonts w:ascii="Arial" w:hAnsi="Arial" w:cs="Arial"/>
              </w:rPr>
            </w:pPr>
            <w:r w:rsidRPr="000E58BD">
              <w:rPr>
                <w:rFonts w:ascii="Arial" w:hAnsi="Arial" w:cs="Arial"/>
                <w:b/>
              </w:rPr>
              <w:t>App</w:t>
            </w:r>
            <w:r>
              <w:rPr>
                <w:rFonts w:ascii="Arial" w:hAnsi="Arial" w:cs="Arial"/>
                <w:b/>
              </w:rPr>
              <w:t>r</w:t>
            </w:r>
            <w:r w:rsidRPr="000E58BD">
              <w:rPr>
                <w:rFonts w:ascii="Arial" w:hAnsi="Arial" w:cs="Arial"/>
                <w:b/>
              </w:rPr>
              <w:t>oved:</w:t>
            </w:r>
            <w:r>
              <w:rPr>
                <w:rFonts w:ascii="Arial" w:hAnsi="Arial" w:cs="Arial"/>
              </w:rPr>
              <w:t xml:space="preserve">  </w:t>
            </w:r>
            <w:r w:rsidR="005D7CF7">
              <w:rPr>
                <w:rFonts w:ascii="Arial" w:hAnsi="Arial" w:cs="Arial"/>
              </w:rPr>
              <w:t>The Committee approved the change of title to MSc In</w:t>
            </w:r>
            <w:r w:rsidR="00776CE6">
              <w:rPr>
                <w:rFonts w:ascii="Arial" w:hAnsi="Arial" w:cs="Arial"/>
              </w:rPr>
              <w:t>vestigative Forensic Psychology.</w:t>
            </w:r>
            <w:r w:rsidR="005D7CF7">
              <w:rPr>
                <w:rFonts w:ascii="Arial" w:hAnsi="Arial" w:cs="Arial"/>
              </w:rPr>
              <w:t xml:space="preserve"> </w:t>
            </w:r>
          </w:p>
        </w:tc>
      </w:tr>
      <w:tr w:rsidR="004744CD" w:rsidTr="00AD2767">
        <w:trPr>
          <w:gridAfter w:val="1"/>
          <w:wAfter w:w="142" w:type="dxa"/>
        </w:trPr>
        <w:tc>
          <w:tcPr>
            <w:tcW w:w="939" w:type="dxa"/>
          </w:tcPr>
          <w:p w:rsidR="004744CD" w:rsidRDefault="00F85F32">
            <w:pPr>
              <w:rPr>
                <w:rFonts w:ascii="Arial" w:hAnsi="Arial" w:cs="Arial"/>
                <w:b/>
                <w:sz w:val="20"/>
                <w:szCs w:val="20"/>
              </w:rPr>
            </w:pPr>
            <w:r>
              <w:rPr>
                <w:rFonts w:ascii="Arial" w:hAnsi="Arial" w:cs="Arial"/>
                <w:b/>
                <w:sz w:val="20"/>
                <w:szCs w:val="20"/>
              </w:rPr>
              <w:lastRenderedPageBreak/>
              <w:t>4.2.3</w:t>
            </w:r>
          </w:p>
          <w:p w:rsidR="007F0716" w:rsidRDefault="007F0716">
            <w:pPr>
              <w:rPr>
                <w:rFonts w:ascii="Arial" w:hAnsi="Arial" w:cs="Arial"/>
                <w:b/>
                <w:sz w:val="20"/>
                <w:szCs w:val="20"/>
              </w:rPr>
            </w:pPr>
          </w:p>
          <w:p w:rsidR="00F4761E" w:rsidRDefault="00F4761E">
            <w:pPr>
              <w:rPr>
                <w:rFonts w:ascii="Arial" w:hAnsi="Arial" w:cs="Arial"/>
                <w:b/>
                <w:sz w:val="20"/>
                <w:szCs w:val="20"/>
              </w:rPr>
            </w:pPr>
          </w:p>
          <w:p w:rsidR="007F0716" w:rsidRPr="00F4761E" w:rsidRDefault="00F4761E" w:rsidP="00F4761E">
            <w:pPr>
              <w:rPr>
                <w:rFonts w:ascii="Arial" w:hAnsi="Arial" w:cs="Arial"/>
                <w:sz w:val="20"/>
                <w:szCs w:val="20"/>
              </w:rPr>
            </w:pPr>
            <w:r>
              <w:rPr>
                <w:rFonts w:ascii="Arial" w:hAnsi="Arial" w:cs="Arial"/>
                <w:sz w:val="20"/>
                <w:szCs w:val="20"/>
              </w:rPr>
              <w:t>4.2.3.1</w:t>
            </w:r>
          </w:p>
        </w:tc>
        <w:tc>
          <w:tcPr>
            <w:tcW w:w="8700" w:type="dxa"/>
            <w:gridSpan w:val="3"/>
          </w:tcPr>
          <w:p w:rsidR="004744CD" w:rsidRDefault="00F85F32" w:rsidP="00EC1D4D">
            <w:pPr>
              <w:pStyle w:val="BodyTextIndent"/>
              <w:tabs>
                <w:tab w:val="clear" w:pos="624"/>
                <w:tab w:val="clear" w:pos="1950"/>
                <w:tab w:val="clear" w:pos="8346"/>
              </w:tabs>
              <w:ind w:left="0" w:right="-22"/>
              <w:rPr>
                <w:rFonts w:ascii="Arial" w:hAnsi="Arial" w:cs="Arial"/>
              </w:rPr>
            </w:pPr>
            <w:r>
              <w:rPr>
                <w:rFonts w:ascii="Arial" w:hAnsi="Arial" w:cs="Arial"/>
                <w:b/>
              </w:rPr>
              <w:t>Faculty of Management: New Programme Proposal – BA (Hons) Taxation and Leadership</w:t>
            </w:r>
            <w:r>
              <w:rPr>
                <w:rFonts w:ascii="Arial" w:hAnsi="Arial" w:cs="Arial"/>
              </w:rPr>
              <w:t xml:space="preserve"> (ASC-1516-67</w:t>
            </w:r>
            <w:r w:rsidR="004744CD">
              <w:rPr>
                <w:rFonts w:ascii="Arial" w:hAnsi="Arial" w:cs="Arial"/>
              </w:rPr>
              <w:t>)</w:t>
            </w:r>
          </w:p>
          <w:p w:rsidR="00E57F4F" w:rsidRDefault="00E57F4F" w:rsidP="004744CD">
            <w:pPr>
              <w:pStyle w:val="BodyTextIndent"/>
              <w:tabs>
                <w:tab w:val="clear" w:pos="624"/>
                <w:tab w:val="clear" w:pos="1950"/>
                <w:tab w:val="clear" w:pos="8346"/>
              </w:tabs>
              <w:ind w:left="0" w:right="-22"/>
              <w:jc w:val="both"/>
              <w:rPr>
                <w:rFonts w:ascii="Arial" w:hAnsi="Arial" w:cs="Arial"/>
                <w:b/>
              </w:rPr>
            </w:pPr>
          </w:p>
          <w:p w:rsidR="00F4761E" w:rsidRDefault="00330CA0" w:rsidP="00330CA0">
            <w:pPr>
              <w:pStyle w:val="BodyTextIndent"/>
              <w:tabs>
                <w:tab w:val="clear" w:pos="624"/>
                <w:tab w:val="clear" w:pos="1950"/>
                <w:tab w:val="clear" w:pos="8346"/>
              </w:tabs>
              <w:ind w:left="0" w:right="-22"/>
              <w:jc w:val="both"/>
              <w:rPr>
                <w:rFonts w:ascii="Arial" w:hAnsi="Arial" w:cs="Arial"/>
              </w:rPr>
            </w:pPr>
            <w:r>
              <w:rPr>
                <w:rFonts w:ascii="Arial" w:hAnsi="Arial" w:cs="Arial"/>
              </w:rPr>
              <w:t>Redacted.</w:t>
            </w:r>
          </w:p>
          <w:p w:rsidR="00330CA0" w:rsidRPr="004744CD" w:rsidRDefault="00330CA0" w:rsidP="00330CA0">
            <w:pPr>
              <w:pStyle w:val="BodyTextIndent"/>
              <w:tabs>
                <w:tab w:val="clear" w:pos="624"/>
                <w:tab w:val="clear" w:pos="1950"/>
                <w:tab w:val="clear" w:pos="8346"/>
              </w:tabs>
              <w:ind w:left="0" w:right="-22"/>
              <w:jc w:val="both"/>
              <w:rPr>
                <w:rFonts w:ascii="Arial" w:hAnsi="Arial" w:cs="Arial"/>
                <w:b/>
              </w:rPr>
            </w:pPr>
          </w:p>
        </w:tc>
      </w:tr>
      <w:tr w:rsidR="00F85F32" w:rsidTr="00AD2767">
        <w:trPr>
          <w:gridAfter w:val="1"/>
          <w:wAfter w:w="142" w:type="dxa"/>
        </w:trPr>
        <w:tc>
          <w:tcPr>
            <w:tcW w:w="939" w:type="dxa"/>
          </w:tcPr>
          <w:p w:rsidR="00F85F32" w:rsidRPr="00F85F32" w:rsidRDefault="00F85F32">
            <w:pPr>
              <w:rPr>
                <w:rFonts w:ascii="Arial" w:hAnsi="Arial" w:cs="Arial"/>
                <w:sz w:val="20"/>
                <w:szCs w:val="20"/>
              </w:rPr>
            </w:pPr>
          </w:p>
        </w:tc>
        <w:tc>
          <w:tcPr>
            <w:tcW w:w="8700" w:type="dxa"/>
            <w:gridSpan w:val="3"/>
          </w:tcPr>
          <w:p w:rsidR="00F85F32" w:rsidRDefault="00F85F32" w:rsidP="004744CD">
            <w:pPr>
              <w:pStyle w:val="BodyTextIndent"/>
              <w:tabs>
                <w:tab w:val="clear" w:pos="624"/>
                <w:tab w:val="clear" w:pos="1950"/>
                <w:tab w:val="clear" w:pos="8346"/>
              </w:tabs>
              <w:ind w:left="0" w:right="-22"/>
              <w:jc w:val="both"/>
              <w:rPr>
                <w:rFonts w:ascii="Arial" w:hAnsi="Arial" w:cs="Arial"/>
                <w:b/>
              </w:rPr>
            </w:pPr>
          </w:p>
        </w:tc>
      </w:tr>
      <w:tr w:rsidR="004744CD" w:rsidTr="00AD2767">
        <w:trPr>
          <w:gridAfter w:val="1"/>
          <w:wAfter w:w="142" w:type="dxa"/>
        </w:trPr>
        <w:tc>
          <w:tcPr>
            <w:tcW w:w="939" w:type="dxa"/>
          </w:tcPr>
          <w:p w:rsidR="003D31B9" w:rsidRPr="00F85F32" w:rsidRDefault="00F85F32">
            <w:pPr>
              <w:rPr>
                <w:rFonts w:ascii="Arial" w:hAnsi="Arial" w:cs="Arial"/>
                <w:b/>
                <w:sz w:val="20"/>
                <w:szCs w:val="20"/>
              </w:rPr>
            </w:pPr>
            <w:r>
              <w:rPr>
                <w:rFonts w:ascii="Arial" w:hAnsi="Arial" w:cs="Arial"/>
                <w:b/>
                <w:sz w:val="20"/>
                <w:szCs w:val="20"/>
              </w:rPr>
              <w:t>4.2.4</w:t>
            </w:r>
          </w:p>
        </w:tc>
        <w:tc>
          <w:tcPr>
            <w:tcW w:w="8700" w:type="dxa"/>
            <w:gridSpan w:val="3"/>
          </w:tcPr>
          <w:p w:rsidR="00E57F4F" w:rsidRPr="00F85F32" w:rsidRDefault="00F85F32" w:rsidP="00EC1D4D">
            <w:pPr>
              <w:pStyle w:val="BodyTextIndent"/>
              <w:tabs>
                <w:tab w:val="clear" w:pos="624"/>
                <w:tab w:val="clear" w:pos="1950"/>
                <w:tab w:val="clear" w:pos="8346"/>
              </w:tabs>
              <w:ind w:left="0" w:right="-22"/>
              <w:rPr>
                <w:rFonts w:ascii="Arial" w:hAnsi="Arial" w:cs="Arial"/>
              </w:rPr>
            </w:pPr>
            <w:r>
              <w:rPr>
                <w:rFonts w:ascii="Arial" w:hAnsi="Arial" w:cs="Arial"/>
                <w:b/>
              </w:rPr>
              <w:t xml:space="preserve">Faculty of Management: Disambiguating the Title of MSc Crisis, Disaster and Cyber Security and clarification of the Lead Faculty </w:t>
            </w:r>
            <w:r>
              <w:rPr>
                <w:rFonts w:ascii="Arial" w:hAnsi="Arial" w:cs="Arial"/>
              </w:rPr>
              <w:t>(ASC-1516-68)</w:t>
            </w:r>
          </w:p>
          <w:p w:rsidR="007F0716" w:rsidRDefault="007F0716" w:rsidP="007F0716">
            <w:pPr>
              <w:pStyle w:val="BodyTextIndent"/>
              <w:tabs>
                <w:tab w:val="clear" w:pos="624"/>
                <w:tab w:val="clear" w:pos="1950"/>
                <w:tab w:val="clear" w:pos="8346"/>
              </w:tabs>
              <w:ind w:left="720" w:right="-22" w:hanging="720"/>
              <w:jc w:val="both"/>
              <w:rPr>
                <w:rFonts w:ascii="Arial" w:hAnsi="Arial" w:cs="Arial"/>
              </w:rPr>
            </w:pPr>
          </w:p>
        </w:tc>
      </w:tr>
      <w:tr w:rsidR="00C9261F" w:rsidTr="00AD2767">
        <w:trPr>
          <w:gridAfter w:val="1"/>
          <w:wAfter w:w="142" w:type="dxa"/>
        </w:trPr>
        <w:tc>
          <w:tcPr>
            <w:tcW w:w="939" w:type="dxa"/>
          </w:tcPr>
          <w:p w:rsidR="00C9261F" w:rsidRPr="00C9261F" w:rsidRDefault="00C9261F">
            <w:pPr>
              <w:rPr>
                <w:rFonts w:ascii="Arial" w:hAnsi="Arial" w:cs="Arial"/>
                <w:sz w:val="20"/>
                <w:szCs w:val="20"/>
              </w:rPr>
            </w:pPr>
            <w:r>
              <w:rPr>
                <w:rFonts w:ascii="Arial" w:hAnsi="Arial" w:cs="Arial"/>
                <w:sz w:val="20"/>
                <w:szCs w:val="20"/>
              </w:rPr>
              <w:t>4.2.4.1</w:t>
            </w:r>
          </w:p>
        </w:tc>
        <w:tc>
          <w:tcPr>
            <w:tcW w:w="8700" w:type="dxa"/>
            <w:gridSpan w:val="3"/>
          </w:tcPr>
          <w:p w:rsidR="00C9261F" w:rsidRDefault="00C9261F" w:rsidP="00EC1D4D">
            <w:pPr>
              <w:pStyle w:val="BodyTextIndent"/>
              <w:tabs>
                <w:tab w:val="clear" w:pos="624"/>
                <w:tab w:val="clear" w:pos="1950"/>
                <w:tab w:val="clear" w:pos="8346"/>
              </w:tabs>
              <w:ind w:left="0" w:right="-22"/>
              <w:jc w:val="both"/>
              <w:rPr>
                <w:rFonts w:ascii="Arial" w:hAnsi="Arial" w:cs="Arial"/>
              </w:rPr>
            </w:pPr>
            <w:r>
              <w:rPr>
                <w:rFonts w:ascii="Arial" w:hAnsi="Arial" w:cs="Arial"/>
              </w:rPr>
              <w:t>Following ASC approval of the programme in October 2015, the Faculty had established that a number of variations of the programme title were being used within the Faculty of Management</w:t>
            </w:r>
            <w:r w:rsidR="00D72F2B">
              <w:rPr>
                <w:rFonts w:ascii="Arial" w:hAnsi="Arial" w:cs="Arial"/>
              </w:rPr>
              <w:t xml:space="preserve"> and within the documentation</w:t>
            </w:r>
            <w:r>
              <w:rPr>
                <w:rFonts w:ascii="Arial" w:hAnsi="Arial" w:cs="Arial"/>
              </w:rPr>
              <w:t xml:space="preserve">. Dr Main wished to </w:t>
            </w:r>
            <w:r w:rsidR="00EC1D4D">
              <w:rPr>
                <w:rFonts w:ascii="Arial" w:hAnsi="Arial" w:cs="Arial"/>
              </w:rPr>
              <w:t>clarify the programme title for</w:t>
            </w:r>
            <w:r>
              <w:rPr>
                <w:rFonts w:ascii="Arial" w:hAnsi="Arial" w:cs="Arial"/>
              </w:rPr>
              <w:t xml:space="preserve"> completeness before</w:t>
            </w:r>
            <w:r w:rsidR="00EC1D4D">
              <w:rPr>
                <w:rFonts w:ascii="Arial" w:hAnsi="Arial" w:cs="Arial"/>
              </w:rPr>
              <w:t xml:space="preserve"> the</w:t>
            </w:r>
            <w:r>
              <w:rPr>
                <w:rFonts w:ascii="Arial" w:hAnsi="Arial" w:cs="Arial"/>
              </w:rPr>
              <w:t xml:space="preserve"> programme evaluation in March 2016. </w:t>
            </w:r>
            <w:r w:rsidR="006C5238">
              <w:rPr>
                <w:rFonts w:ascii="Arial" w:hAnsi="Arial" w:cs="Arial"/>
              </w:rPr>
              <w:t xml:space="preserve">It was noted that the Lead Faculty for the programme would be the Faculty of Management. </w:t>
            </w:r>
          </w:p>
          <w:p w:rsidR="006C5238" w:rsidRPr="00C9261F" w:rsidRDefault="006C5238" w:rsidP="00C9261F">
            <w:pPr>
              <w:pStyle w:val="BodyTextIndent"/>
              <w:tabs>
                <w:tab w:val="clear" w:pos="624"/>
                <w:tab w:val="clear" w:pos="1950"/>
                <w:tab w:val="clear" w:pos="8346"/>
              </w:tabs>
              <w:ind w:left="0" w:right="-22"/>
              <w:jc w:val="both"/>
              <w:rPr>
                <w:rFonts w:ascii="Arial" w:hAnsi="Arial" w:cs="Arial"/>
              </w:rPr>
            </w:pPr>
          </w:p>
        </w:tc>
      </w:tr>
      <w:tr w:rsidR="006C5238" w:rsidTr="00AD2767">
        <w:trPr>
          <w:gridAfter w:val="1"/>
          <w:wAfter w:w="142" w:type="dxa"/>
        </w:trPr>
        <w:tc>
          <w:tcPr>
            <w:tcW w:w="939" w:type="dxa"/>
          </w:tcPr>
          <w:p w:rsidR="006C5238" w:rsidRDefault="006C5238">
            <w:pPr>
              <w:rPr>
                <w:rFonts w:ascii="Arial" w:hAnsi="Arial" w:cs="Arial"/>
                <w:sz w:val="20"/>
                <w:szCs w:val="20"/>
              </w:rPr>
            </w:pPr>
            <w:r>
              <w:rPr>
                <w:rFonts w:ascii="Arial" w:hAnsi="Arial" w:cs="Arial"/>
                <w:sz w:val="20"/>
                <w:szCs w:val="20"/>
              </w:rPr>
              <w:t>4.2.4.2</w:t>
            </w:r>
          </w:p>
        </w:tc>
        <w:tc>
          <w:tcPr>
            <w:tcW w:w="8700" w:type="dxa"/>
            <w:gridSpan w:val="3"/>
          </w:tcPr>
          <w:p w:rsidR="006C5238" w:rsidRDefault="006C5238" w:rsidP="00B67182">
            <w:pPr>
              <w:pStyle w:val="BodyTextIndent"/>
              <w:tabs>
                <w:tab w:val="clear" w:pos="624"/>
                <w:tab w:val="clear" w:pos="1950"/>
                <w:tab w:val="clear" w:pos="8346"/>
              </w:tabs>
              <w:ind w:left="0" w:right="-22"/>
              <w:jc w:val="both"/>
              <w:rPr>
                <w:rFonts w:ascii="Arial" w:hAnsi="Arial" w:cs="Arial"/>
              </w:rPr>
            </w:pPr>
            <w:r>
              <w:rPr>
                <w:rFonts w:ascii="Arial" w:hAnsi="Arial" w:cs="Arial"/>
              </w:rPr>
              <w:t>Following discussion within the Faculty of Management</w:t>
            </w:r>
            <w:r w:rsidR="00B67182">
              <w:rPr>
                <w:rFonts w:ascii="Arial" w:hAnsi="Arial" w:cs="Arial"/>
              </w:rPr>
              <w:t>,</w:t>
            </w:r>
            <w:r>
              <w:rPr>
                <w:rFonts w:ascii="Arial" w:hAnsi="Arial" w:cs="Arial"/>
              </w:rPr>
              <w:t xml:space="preserve"> it </w:t>
            </w:r>
            <w:r w:rsidR="00B67182">
              <w:rPr>
                <w:rFonts w:ascii="Arial" w:hAnsi="Arial" w:cs="Arial"/>
              </w:rPr>
              <w:t xml:space="preserve">was </w:t>
            </w:r>
            <w:r>
              <w:rPr>
                <w:rFonts w:ascii="Arial" w:hAnsi="Arial" w:cs="Arial"/>
              </w:rPr>
              <w:t xml:space="preserve">agreed </w:t>
            </w:r>
            <w:r w:rsidR="00B67182">
              <w:rPr>
                <w:rFonts w:ascii="Arial" w:hAnsi="Arial" w:cs="Arial"/>
              </w:rPr>
              <w:t xml:space="preserve">that </w:t>
            </w:r>
            <w:r>
              <w:rPr>
                <w:rFonts w:ascii="Arial" w:hAnsi="Arial" w:cs="Arial"/>
              </w:rPr>
              <w:t>the title should include the word ‘Crisis’ rather than ‘Crises’ to assist with internet searches</w:t>
            </w:r>
            <w:r w:rsidR="00B67182">
              <w:rPr>
                <w:rFonts w:ascii="Arial" w:hAnsi="Arial" w:cs="Arial"/>
              </w:rPr>
              <w:t xml:space="preserve"> by prospective students,</w:t>
            </w:r>
            <w:r>
              <w:rPr>
                <w:rFonts w:ascii="Arial" w:hAnsi="Arial" w:cs="Arial"/>
              </w:rPr>
              <w:t xml:space="preserve"> and</w:t>
            </w:r>
            <w:r w:rsidR="00B67182">
              <w:rPr>
                <w:rFonts w:ascii="Arial" w:hAnsi="Arial" w:cs="Arial"/>
              </w:rPr>
              <w:t xml:space="preserve"> the FM </w:t>
            </w:r>
            <w:r>
              <w:rPr>
                <w:rFonts w:ascii="Arial" w:hAnsi="Arial" w:cs="Arial"/>
              </w:rPr>
              <w:t xml:space="preserve">believed that </w:t>
            </w:r>
            <w:r w:rsidR="00B67182">
              <w:rPr>
                <w:rFonts w:ascii="Arial" w:hAnsi="Arial" w:cs="Arial"/>
              </w:rPr>
              <w:t xml:space="preserve">including </w:t>
            </w:r>
            <w:r>
              <w:rPr>
                <w:rFonts w:ascii="Arial" w:hAnsi="Arial" w:cs="Arial"/>
              </w:rPr>
              <w:t xml:space="preserve">the word ‘Management’ </w:t>
            </w:r>
            <w:r w:rsidR="00B67182">
              <w:rPr>
                <w:rFonts w:ascii="Arial" w:hAnsi="Arial" w:cs="Arial"/>
              </w:rPr>
              <w:t xml:space="preserve">in the title </w:t>
            </w:r>
            <w:r>
              <w:rPr>
                <w:rFonts w:ascii="Arial" w:hAnsi="Arial" w:cs="Arial"/>
              </w:rPr>
              <w:t xml:space="preserve">would make the title too long. The Committee agreed with </w:t>
            </w:r>
            <w:r w:rsidR="00B67182">
              <w:rPr>
                <w:rFonts w:ascii="Arial" w:hAnsi="Arial" w:cs="Arial"/>
              </w:rPr>
              <w:t xml:space="preserve">including the word </w:t>
            </w:r>
            <w:r>
              <w:rPr>
                <w:rFonts w:ascii="Arial" w:hAnsi="Arial" w:cs="Arial"/>
              </w:rPr>
              <w:t>‘Crisis’ in the title</w:t>
            </w:r>
            <w:r w:rsidR="00B67182">
              <w:rPr>
                <w:rFonts w:ascii="Arial" w:hAnsi="Arial" w:cs="Arial"/>
              </w:rPr>
              <w:t>,</w:t>
            </w:r>
            <w:r>
              <w:rPr>
                <w:rFonts w:ascii="Arial" w:hAnsi="Arial" w:cs="Arial"/>
              </w:rPr>
              <w:t xml:space="preserve"> but upon discussion agreed the word ‘</w:t>
            </w:r>
            <w:r w:rsidR="00FC6FBB">
              <w:rPr>
                <w:rFonts w:ascii="Arial" w:hAnsi="Arial" w:cs="Arial"/>
              </w:rPr>
              <w:t xml:space="preserve">Management’ </w:t>
            </w:r>
            <w:r>
              <w:rPr>
                <w:rFonts w:ascii="Arial" w:hAnsi="Arial" w:cs="Arial"/>
              </w:rPr>
              <w:t xml:space="preserve">should be included </w:t>
            </w:r>
            <w:r w:rsidR="00B67182">
              <w:rPr>
                <w:rFonts w:ascii="Arial" w:hAnsi="Arial" w:cs="Arial"/>
              </w:rPr>
              <w:t xml:space="preserve">in the programme title </w:t>
            </w:r>
            <w:r>
              <w:rPr>
                <w:rFonts w:ascii="Arial" w:hAnsi="Arial" w:cs="Arial"/>
              </w:rPr>
              <w:t xml:space="preserve">and agreed </w:t>
            </w:r>
            <w:r w:rsidR="00B67182">
              <w:rPr>
                <w:rFonts w:ascii="Arial" w:hAnsi="Arial" w:cs="Arial"/>
              </w:rPr>
              <w:t>upon the title of ‘</w:t>
            </w:r>
            <w:r>
              <w:rPr>
                <w:rFonts w:ascii="Arial" w:hAnsi="Arial" w:cs="Arial"/>
              </w:rPr>
              <w:t>MSc Crisis, Disaster Management and Cyber Security</w:t>
            </w:r>
            <w:r w:rsidR="00B67182">
              <w:rPr>
                <w:rFonts w:ascii="Arial" w:hAnsi="Arial" w:cs="Arial"/>
              </w:rPr>
              <w:t>’</w:t>
            </w:r>
            <w:r w:rsidR="00FC6FBB">
              <w:rPr>
                <w:rFonts w:ascii="Arial" w:hAnsi="Arial" w:cs="Arial"/>
              </w:rPr>
              <w:t>,</w:t>
            </w:r>
            <w:r>
              <w:rPr>
                <w:rFonts w:ascii="Arial" w:hAnsi="Arial" w:cs="Arial"/>
              </w:rPr>
              <w:t xml:space="preserve"> as internet searches </w:t>
            </w:r>
            <w:r w:rsidR="00D72F2B">
              <w:rPr>
                <w:rFonts w:ascii="Arial" w:hAnsi="Arial" w:cs="Arial"/>
              </w:rPr>
              <w:t>are likely to</w:t>
            </w:r>
            <w:r w:rsidR="009037E2">
              <w:rPr>
                <w:rFonts w:ascii="Arial" w:hAnsi="Arial" w:cs="Arial"/>
              </w:rPr>
              <w:t xml:space="preserve"> use </w:t>
            </w:r>
            <w:r>
              <w:rPr>
                <w:rFonts w:ascii="Arial" w:hAnsi="Arial" w:cs="Arial"/>
              </w:rPr>
              <w:t xml:space="preserve">the terms ‘Crisis Management’ and ‘Disaster Management’.  </w:t>
            </w:r>
          </w:p>
          <w:p w:rsidR="006C5238" w:rsidRDefault="006C5238" w:rsidP="006C5238">
            <w:pPr>
              <w:pStyle w:val="BodyTextIndent"/>
              <w:tabs>
                <w:tab w:val="clear" w:pos="624"/>
                <w:tab w:val="clear" w:pos="1950"/>
                <w:tab w:val="clear" w:pos="8346"/>
              </w:tabs>
              <w:ind w:left="0" w:right="-22"/>
              <w:jc w:val="both"/>
              <w:rPr>
                <w:rFonts w:ascii="Arial" w:hAnsi="Arial" w:cs="Arial"/>
              </w:rPr>
            </w:pPr>
          </w:p>
        </w:tc>
      </w:tr>
      <w:tr w:rsidR="006C5238" w:rsidTr="00AD2767">
        <w:trPr>
          <w:gridAfter w:val="1"/>
          <w:wAfter w:w="142" w:type="dxa"/>
        </w:trPr>
        <w:tc>
          <w:tcPr>
            <w:tcW w:w="939" w:type="dxa"/>
          </w:tcPr>
          <w:p w:rsidR="006C5238" w:rsidRDefault="006C5238">
            <w:pPr>
              <w:rPr>
                <w:rFonts w:ascii="Arial" w:hAnsi="Arial" w:cs="Arial"/>
                <w:sz w:val="20"/>
                <w:szCs w:val="20"/>
              </w:rPr>
            </w:pPr>
            <w:r>
              <w:rPr>
                <w:rFonts w:ascii="Arial" w:hAnsi="Arial" w:cs="Arial"/>
                <w:sz w:val="20"/>
                <w:szCs w:val="20"/>
              </w:rPr>
              <w:t>4.2.4.3</w:t>
            </w:r>
          </w:p>
        </w:tc>
        <w:tc>
          <w:tcPr>
            <w:tcW w:w="8700" w:type="dxa"/>
            <w:gridSpan w:val="3"/>
          </w:tcPr>
          <w:p w:rsidR="006C5238" w:rsidRDefault="006C5238" w:rsidP="00B67182">
            <w:pPr>
              <w:pStyle w:val="BodyTextIndent"/>
              <w:tabs>
                <w:tab w:val="clear" w:pos="624"/>
                <w:tab w:val="clear" w:pos="1950"/>
                <w:tab w:val="clear" w:pos="8346"/>
              </w:tabs>
              <w:ind w:left="0" w:right="-22"/>
              <w:jc w:val="both"/>
              <w:rPr>
                <w:rFonts w:ascii="Arial" w:hAnsi="Arial" w:cs="Arial"/>
              </w:rPr>
            </w:pPr>
            <w:r w:rsidRPr="000E58BD">
              <w:rPr>
                <w:rFonts w:ascii="Arial" w:hAnsi="Arial" w:cs="Arial"/>
                <w:b/>
              </w:rPr>
              <w:t>App</w:t>
            </w:r>
            <w:r>
              <w:rPr>
                <w:rFonts w:ascii="Arial" w:hAnsi="Arial" w:cs="Arial"/>
                <w:b/>
              </w:rPr>
              <w:t>r</w:t>
            </w:r>
            <w:r w:rsidRPr="000E58BD">
              <w:rPr>
                <w:rFonts w:ascii="Arial" w:hAnsi="Arial" w:cs="Arial"/>
                <w:b/>
              </w:rPr>
              <w:t>oved:</w:t>
            </w:r>
            <w:r>
              <w:rPr>
                <w:rFonts w:ascii="Arial" w:hAnsi="Arial" w:cs="Arial"/>
              </w:rPr>
              <w:t xml:space="preserve">  The Committee approved the amended programme title of MSc Crisis, Disaster Management and Cyber Security. </w:t>
            </w:r>
          </w:p>
          <w:p w:rsidR="006C5238" w:rsidRDefault="006C5238" w:rsidP="006C5238">
            <w:pPr>
              <w:pStyle w:val="BodyTextIndent"/>
              <w:tabs>
                <w:tab w:val="clear" w:pos="624"/>
                <w:tab w:val="clear" w:pos="1950"/>
                <w:tab w:val="clear" w:pos="8346"/>
              </w:tabs>
              <w:ind w:left="0" w:right="-22"/>
              <w:jc w:val="both"/>
              <w:rPr>
                <w:rFonts w:ascii="Arial" w:hAnsi="Arial" w:cs="Arial"/>
              </w:rPr>
            </w:pPr>
          </w:p>
        </w:tc>
      </w:tr>
      <w:tr w:rsidR="00C9261F" w:rsidTr="00AD2767">
        <w:trPr>
          <w:gridAfter w:val="1"/>
          <w:wAfter w:w="142" w:type="dxa"/>
        </w:trPr>
        <w:tc>
          <w:tcPr>
            <w:tcW w:w="939" w:type="dxa"/>
          </w:tcPr>
          <w:p w:rsidR="00C9261F" w:rsidRPr="00C9261F" w:rsidRDefault="00C9261F">
            <w:pPr>
              <w:rPr>
                <w:rFonts w:ascii="Arial" w:hAnsi="Arial" w:cs="Arial"/>
                <w:sz w:val="20"/>
                <w:szCs w:val="20"/>
              </w:rPr>
            </w:pPr>
          </w:p>
        </w:tc>
        <w:tc>
          <w:tcPr>
            <w:tcW w:w="8700" w:type="dxa"/>
            <w:gridSpan w:val="3"/>
          </w:tcPr>
          <w:p w:rsidR="00C9261F" w:rsidRPr="00C9261F" w:rsidRDefault="00C9261F" w:rsidP="00F85F32">
            <w:pPr>
              <w:pStyle w:val="BodyTextIndent"/>
              <w:tabs>
                <w:tab w:val="clear" w:pos="624"/>
                <w:tab w:val="clear" w:pos="1950"/>
                <w:tab w:val="clear" w:pos="8346"/>
              </w:tabs>
              <w:ind w:left="0" w:right="-22"/>
              <w:jc w:val="both"/>
              <w:rPr>
                <w:rFonts w:ascii="Arial" w:hAnsi="Arial" w:cs="Arial"/>
              </w:rPr>
            </w:pPr>
          </w:p>
        </w:tc>
      </w:tr>
      <w:tr w:rsidR="004744CD" w:rsidTr="00AD2767">
        <w:trPr>
          <w:gridAfter w:val="1"/>
          <w:wAfter w:w="142" w:type="dxa"/>
        </w:trPr>
        <w:tc>
          <w:tcPr>
            <w:tcW w:w="939" w:type="dxa"/>
          </w:tcPr>
          <w:p w:rsidR="004744CD" w:rsidRPr="004744CD" w:rsidRDefault="004744CD">
            <w:pPr>
              <w:rPr>
                <w:rFonts w:ascii="Arial" w:hAnsi="Arial" w:cs="Arial"/>
                <w:b/>
                <w:sz w:val="20"/>
                <w:szCs w:val="20"/>
              </w:rPr>
            </w:pPr>
            <w:r>
              <w:rPr>
                <w:rFonts w:ascii="Arial" w:hAnsi="Arial" w:cs="Arial"/>
                <w:b/>
                <w:sz w:val="20"/>
                <w:szCs w:val="20"/>
              </w:rPr>
              <w:t>5</w:t>
            </w:r>
          </w:p>
        </w:tc>
        <w:tc>
          <w:tcPr>
            <w:tcW w:w="8700" w:type="dxa"/>
            <w:gridSpan w:val="3"/>
          </w:tcPr>
          <w:p w:rsidR="004744CD" w:rsidRDefault="004744CD">
            <w:pPr>
              <w:rPr>
                <w:rFonts w:ascii="Arial" w:hAnsi="Arial" w:cs="Arial"/>
                <w:b/>
                <w:sz w:val="20"/>
                <w:szCs w:val="20"/>
              </w:rPr>
            </w:pPr>
            <w:r w:rsidRPr="004744CD">
              <w:rPr>
                <w:rFonts w:ascii="Arial" w:hAnsi="Arial" w:cs="Arial"/>
                <w:b/>
                <w:sz w:val="20"/>
                <w:szCs w:val="20"/>
              </w:rPr>
              <w:t>PART THREE – FOR NOTE</w:t>
            </w:r>
          </w:p>
          <w:p w:rsidR="00E57F4F" w:rsidRPr="004744CD" w:rsidRDefault="00E57F4F">
            <w:pPr>
              <w:rPr>
                <w:rFonts w:ascii="Arial" w:hAnsi="Arial" w:cs="Arial"/>
                <w:sz w:val="20"/>
                <w:szCs w:val="20"/>
              </w:rPr>
            </w:pPr>
          </w:p>
        </w:tc>
      </w:tr>
      <w:tr w:rsidR="004744CD" w:rsidTr="00AD2767">
        <w:trPr>
          <w:gridAfter w:val="1"/>
          <w:wAfter w:w="142" w:type="dxa"/>
        </w:trPr>
        <w:tc>
          <w:tcPr>
            <w:tcW w:w="939" w:type="dxa"/>
          </w:tcPr>
          <w:p w:rsidR="004744CD" w:rsidRDefault="00C515D6">
            <w:pPr>
              <w:rPr>
                <w:rFonts w:ascii="Arial" w:hAnsi="Arial" w:cs="Arial"/>
                <w:b/>
                <w:sz w:val="20"/>
                <w:szCs w:val="20"/>
              </w:rPr>
            </w:pPr>
            <w:r>
              <w:rPr>
                <w:rFonts w:ascii="Arial" w:hAnsi="Arial" w:cs="Arial"/>
                <w:b/>
                <w:sz w:val="20"/>
                <w:szCs w:val="20"/>
              </w:rPr>
              <w:t>5.1</w:t>
            </w:r>
          </w:p>
          <w:p w:rsidR="00F85F32" w:rsidRDefault="00F85F32">
            <w:pPr>
              <w:rPr>
                <w:rFonts w:ascii="Arial" w:hAnsi="Arial" w:cs="Arial"/>
                <w:b/>
                <w:sz w:val="20"/>
                <w:szCs w:val="20"/>
              </w:rPr>
            </w:pPr>
          </w:p>
          <w:p w:rsidR="00F85F32" w:rsidRPr="00F85F32" w:rsidRDefault="00F85F32">
            <w:pPr>
              <w:rPr>
                <w:rFonts w:ascii="Arial" w:hAnsi="Arial" w:cs="Arial"/>
                <w:sz w:val="20"/>
                <w:szCs w:val="20"/>
              </w:rPr>
            </w:pPr>
            <w:r>
              <w:rPr>
                <w:rFonts w:ascii="Arial" w:hAnsi="Arial" w:cs="Arial"/>
                <w:sz w:val="20"/>
                <w:szCs w:val="20"/>
              </w:rPr>
              <w:t>5.1.1</w:t>
            </w:r>
          </w:p>
        </w:tc>
        <w:tc>
          <w:tcPr>
            <w:tcW w:w="8700" w:type="dxa"/>
            <w:gridSpan w:val="3"/>
          </w:tcPr>
          <w:p w:rsidR="004744CD" w:rsidRDefault="00F85F32">
            <w:pPr>
              <w:rPr>
                <w:rFonts w:ascii="Arial" w:hAnsi="Arial" w:cs="Arial"/>
                <w:sz w:val="20"/>
                <w:szCs w:val="20"/>
              </w:rPr>
            </w:pPr>
            <w:r>
              <w:rPr>
                <w:rFonts w:ascii="Arial" w:hAnsi="Arial" w:cs="Arial"/>
                <w:b/>
                <w:sz w:val="20"/>
                <w:szCs w:val="20"/>
              </w:rPr>
              <w:t>BU Response to HE Green Paper</w:t>
            </w:r>
            <w:r w:rsidR="007F0716">
              <w:rPr>
                <w:rFonts w:ascii="Arial" w:hAnsi="Arial" w:cs="Arial"/>
                <w:b/>
                <w:sz w:val="20"/>
                <w:szCs w:val="20"/>
              </w:rPr>
              <w:t xml:space="preserve"> (</w:t>
            </w:r>
            <w:r w:rsidR="007F0716">
              <w:rPr>
                <w:rFonts w:ascii="Arial" w:hAnsi="Arial" w:cs="Arial"/>
                <w:sz w:val="20"/>
                <w:szCs w:val="20"/>
              </w:rPr>
              <w:t>ASC-1516-</w:t>
            </w:r>
            <w:r>
              <w:rPr>
                <w:rFonts w:ascii="Arial" w:hAnsi="Arial" w:cs="Arial"/>
                <w:sz w:val="20"/>
                <w:szCs w:val="20"/>
              </w:rPr>
              <w:t>69</w:t>
            </w:r>
            <w:r w:rsidR="00C515D6" w:rsidRPr="00C515D6">
              <w:rPr>
                <w:rFonts w:ascii="Arial" w:hAnsi="Arial" w:cs="Arial"/>
                <w:sz w:val="20"/>
                <w:szCs w:val="20"/>
              </w:rPr>
              <w:t>)</w:t>
            </w:r>
          </w:p>
          <w:p w:rsidR="00E57F4F" w:rsidRDefault="00E57F4F">
            <w:pPr>
              <w:rPr>
                <w:rFonts w:ascii="Arial" w:hAnsi="Arial" w:cs="Arial"/>
                <w:sz w:val="20"/>
                <w:szCs w:val="20"/>
              </w:rPr>
            </w:pPr>
          </w:p>
          <w:p w:rsidR="008A5BCB" w:rsidRDefault="00301CEF" w:rsidP="00B67182">
            <w:pPr>
              <w:pStyle w:val="Textbodyindent"/>
              <w:ind w:left="709" w:right="-22" w:hanging="709"/>
              <w:jc w:val="both"/>
            </w:pPr>
            <w:r>
              <w:rPr>
                <w:b/>
              </w:rPr>
              <w:t xml:space="preserve">Noted:  </w:t>
            </w:r>
            <w:r>
              <w:t>The Committee noted the report.</w:t>
            </w:r>
          </w:p>
          <w:p w:rsidR="00B67182" w:rsidRPr="00C515D6" w:rsidRDefault="00B67182" w:rsidP="00B67182">
            <w:pPr>
              <w:pStyle w:val="Textbodyindent"/>
              <w:ind w:left="709" w:right="-22" w:hanging="709"/>
              <w:jc w:val="both"/>
            </w:pPr>
          </w:p>
        </w:tc>
      </w:tr>
      <w:tr w:rsidR="004744CD"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4744CD" w:rsidRPr="00C515D6" w:rsidRDefault="00C515D6">
            <w:pPr>
              <w:rPr>
                <w:rFonts w:ascii="Arial" w:hAnsi="Arial" w:cs="Arial"/>
                <w:sz w:val="20"/>
                <w:szCs w:val="20"/>
              </w:rPr>
            </w:pPr>
            <w:r>
              <w:rPr>
                <w:rFonts w:ascii="Arial" w:hAnsi="Arial" w:cs="Arial"/>
                <w:b/>
                <w:sz w:val="20"/>
                <w:szCs w:val="20"/>
              </w:rPr>
              <w:t>5.2</w:t>
            </w:r>
          </w:p>
        </w:tc>
        <w:tc>
          <w:tcPr>
            <w:tcW w:w="8842" w:type="dxa"/>
            <w:gridSpan w:val="4"/>
            <w:tcBorders>
              <w:top w:val="nil"/>
              <w:left w:val="nil"/>
              <w:bottom w:val="nil"/>
              <w:right w:val="nil"/>
            </w:tcBorders>
          </w:tcPr>
          <w:p w:rsidR="00F85F32" w:rsidRDefault="00F85F32" w:rsidP="00C515D6">
            <w:pPr>
              <w:pStyle w:val="Textbodyindent"/>
              <w:ind w:left="709" w:right="-22" w:hanging="709"/>
              <w:jc w:val="both"/>
            </w:pPr>
            <w:r>
              <w:rPr>
                <w:b/>
              </w:rPr>
              <w:t>Review of Feedback on Standard Assessment Regulations for Taught Programmes</w:t>
            </w:r>
            <w:r w:rsidR="007F0716">
              <w:t xml:space="preserve"> </w:t>
            </w:r>
          </w:p>
          <w:p w:rsidR="004744CD" w:rsidRDefault="007F0716" w:rsidP="00C515D6">
            <w:pPr>
              <w:pStyle w:val="Textbodyindent"/>
              <w:ind w:left="709" w:right="-22" w:hanging="709"/>
              <w:jc w:val="both"/>
            </w:pPr>
            <w:r>
              <w:t>(ASC-1516-</w:t>
            </w:r>
            <w:r w:rsidR="00F85F32">
              <w:t>70</w:t>
            </w:r>
            <w:r w:rsidR="00C515D6">
              <w:t>)</w:t>
            </w:r>
          </w:p>
          <w:p w:rsidR="00E57F4F" w:rsidRDefault="00E57F4F" w:rsidP="00C515D6">
            <w:pPr>
              <w:pStyle w:val="Textbodyindent"/>
              <w:ind w:left="709" w:right="-22" w:hanging="709"/>
              <w:jc w:val="both"/>
            </w:pPr>
          </w:p>
        </w:tc>
      </w:tr>
      <w:tr w:rsidR="004744CD"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4744CD" w:rsidRDefault="00C515D6">
            <w:pPr>
              <w:rPr>
                <w:rFonts w:ascii="Arial" w:hAnsi="Arial" w:cs="Arial"/>
                <w:sz w:val="20"/>
                <w:szCs w:val="20"/>
              </w:rPr>
            </w:pPr>
            <w:r>
              <w:rPr>
                <w:rFonts w:ascii="Arial" w:hAnsi="Arial" w:cs="Arial"/>
                <w:sz w:val="20"/>
                <w:szCs w:val="20"/>
              </w:rPr>
              <w:t>5.2.1</w:t>
            </w:r>
          </w:p>
        </w:tc>
        <w:tc>
          <w:tcPr>
            <w:tcW w:w="8842" w:type="dxa"/>
            <w:gridSpan w:val="4"/>
            <w:tcBorders>
              <w:top w:val="nil"/>
              <w:left w:val="nil"/>
              <w:bottom w:val="nil"/>
              <w:right w:val="nil"/>
            </w:tcBorders>
          </w:tcPr>
          <w:p w:rsidR="00301CEF" w:rsidRDefault="00301CEF" w:rsidP="00301CEF">
            <w:pPr>
              <w:pStyle w:val="Textbodyindent"/>
              <w:ind w:left="709" w:right="-22" w:hanging="709"/>
              <w:jc w:val="both"/>
            </w:pPr>
            <w:r>
              <w:rPr>
                <w:b/>
              </w:rPr>
              <w:t xml:space="preserve">Noted:  </w:t>
            </w:r>
            <w:r>
              <w:t>The Committee noted the report.</w:t>
            </w:r>
          </w:p>
          <w:p w:rsidR="004744CD" w:rsidRDefault="004744CD">
            <w:pPr>
              <w:rPr>
                <w:rFonts w:ascii="Arial" w:hAnsi="Arial" w:cs="Arial"/>
                <w:sz w:val="20"/>
                <w:szCs w:val="20"/>
              </w:rPr>
            </w:pPr>
          </w:p>
        </w:tc>
      </w:tr>
      <w:tr w:rsidR="004744CD"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4744CD" w:rsidRPr="00C515D6" w:rsidRDefault="00C515D6">
            <w:pPr>
              <w:rPr>
                <w:rFonts w:ascii="Arial" w:hAnsi="Arial" w:cs="Arial"/>
                <w:sz w:val="20"/>
                <w:szCs w:val="20"/>
              </w:rPr>
            </w:pPr>
            <w:r>
              <w:rPr>
                <w:rFonts w:ascii="Arial" w:hAnsi="Arial" w:cs="Arial"/>
                <w:b/>
                <w:sz w:val="20"/>
                <w:szCs w:val="20"/>
              </w:rPr>
              <w:t>5.3</w:t>
            </w:r>
          </w:p>
        </w:tc>
        <w:tc>
          <w:tcPr>
            <w:tcW w:w="8842" w:type="dxa"/>
            <w:gridSpan w:val="4"/>
            <w:tcBorders>
              <w:top w:val="nil"/>
              <w:left w:val="nil"/>
              <w:bottom w:val="nil"/>
              <w:right w:val="nil"/>
            </w:tcBorders>
          </w:tcPr>
          <w:p w:rsidR="004744CD" w:rsidRDefault="00F85F32" w:rsidP="007F0716">
            <w:pPr>
              <w:pStyle w:val="Textbodyindent"/>
              <w:ind w:left="709" w:right="-22" w:hanging="709"/>
              <w:jc w:val="both"/>
            </w:pPr>
            <w:r>
              <w:rPr>
                <w:b/>
              </w:rPr>
              <w:t>Partnership Agreements</w:t>
            </w:r>
            <w:r w:rsidR="007F0716">
              <w:t xml:space="preserve"> (ASC-1516-</w:t>
            </w:r>
            <w:r>
              <w:t>71</w:t>
            </w:r>
            <w:r w:rsidR="00C515D6" w:rsidRPr="00C515D6">
              <w:t>)</w:t>
            </w:r>
          </w:p>
          <w:p w:rsidR="00E57F4F" w:rsidRPr="00C515D6" w:rsidRDefault="00E57F4F" w:rsidP="00C515D6">
            <w:pPr>
              <w:rPr>
                <w:rFonts w:ascii="Arial" w:hAnsi="Arial" w:cs="Arial"/>
                <w:sz w:val="20"/>
                <w:szCs w:val="20"/>
              </w:rPr>
            </w:pPr>
          </w:p>
        </w:tc>
      </w:tr>
      <w:tr w:rsidR="004744CD"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4744CD" w:rsidRDefault="00C515D6">
            <w:pPr>
              <w:rPr>
                <w:rFonts w:ascii="Arial" w:hAnsi="Arial" w:cs="Arial"/>
                <w:sz w:val="20"/>
                <w:szCs w:val="20"/>
              </w:rPr>
            </w:pPr>
            <w:r>
              <w:rPr>
                <w:rFonts w:ascii="Arial" w:hAnsi="Arial" w:cs="Arial"/>
                <w:sz w:val="20"/>
                <w:szCs w:val="20"/>
              </w:rPr>
              <w:t>5.3.1</w:t>
            </w:r>
          </w:p>
        </w:tc>
        <w:tc>
          <w:tcPr>
            <w:tcW w:w="8842" w:type="dxa"/>
            <w:gridSpan w:val="4"/>
            <w:tcBorders>
              <w:top w:val="nil"/>
              <w:left w:val="nil"/>
              <w:bottom w:val="nil"/>
              <w:right w:val="nil"/>
            </w:tcBorders>
          </w:tcPr>
          <w:p w:rsidR="00B67182" w:rsidRDefault="00301CEF" w:rsidP="00C515D6">
            <w:pPr>
              <w:pStyle w:val="Textbodyindent"/>
              <w:ind w:left="709" w:right="-22" w:hanging="709"/>
              <w:jc w:val="both"/>
            </w:pPr>
            <w:r>
              <w:rPr>
                <w:b/>
              </w:rPr>
              <w:t xml:space="preserve">Noted:  </w:t>
            </w:r>
            <w:r>
              <w:t xml:space="preserve">The Committee noted </w:t>
            </w:r>
            <w:r w:rsidR="00B67182">
              <w:t>the report.</w:t>
            </w:r>
          </w:p>
          <w:p w:rsidR="004744CD" w:rsidRDefault="004744CD">
            <w:pPr>
              <w:rPr>
                <w:rFonts w:ascii="Arial" w:hAnsi="Arial" w:cs="Arial"/>
                <w:sz w:val="20"/>
                <w:szCs w:val="20"/>
              </w:rPr>
            </w:pPr>
          </w:p>
        </w:tc>
      </w:tr>
      <w:tr w:rsidR="004744CD"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4744CD" w:rsidRPr="00C515D6" w:rsidRDefault="00C515D6">
            <w:pPr>
              <w:rPr>
                <w:rFonts w:ascii="Arial" w:hAnsi="Arial" w:cs="Arial"/>
                <w:sz w:val="20"/>
                <w:szCs w:val="20"/>
              </w:rPr>
            </w:pPr>
            <w:r>
              <w:rPr>
                <w:rFonts w:ascii="Arial" w:hAnsi="Arial" w:cs="Arial"/>
                <w:b/>
                <w:sz w:val="20"/>
                <w:szCs w:val="20"/>
              </w:rPr>
              <w:t>5.4</w:t>
            </w:r>
          </w:p>
        </w:tc>
        <w:tc>
          <w:tcPr>
            <w:tcW w:w="8842" w:type="dxa"/>
            <w:gridSpan w:val="4"/>
            <w:tcBorders>
              <w:top w:val="nil"/>
              <w:left w:val="nil"/>
              <w:bottom w:val="nil"/>
              <w:right w:val="nil"/>
            </w:tcBorders>
          </w:tcPr>
          <w:p w:rsidR="00F85F32" w:rsidRDefault="00F85F32" w:rsidP="00C515D6">
            <w:pPr>
              <w:pStyle w:val="BodyTextIndent"/>
              <w:tabs>
                <w:tab w:val="clear" w:pos="624"/>
                <w:tab w:val="clear" w:pos="1950"/>
                <w:tab w:val="clear" w:pos="8346"/>
              </w:tabs>
              <w:ind w:left="709" w:right="-22" w:hanging="709"/>
              <w:jc w:val="both"/>
              <w:rPr>
                <w:rFonts w:ascii="Arial" w:hAnsi="Arial" w:cs="Arial"/>
                <w:b/>
              </w:rPr>
            </w:pPr>
            <w:r>
              <w:rPr>
                <w:rFonts w:ascii="Arial" w:hAnsi="Arial" w:cs="Arial"/>
                <w:b/>
              </w:rPr>
              <w:t>Completed Framework/Programme Reviews, Validations and Reviews for Closure</w:t>
            </w:r>
            <w:r w:rsidR="00C515D6">
              <w:rPr>
                <w:rFonts w:ascii="Arial" w:hAnsi="Arial" w:cs="Arial"/>
                <w:b/>
              </w:rPr>
              <w:t xml:space="preserve"> </w:t>
            </w:r>
          </w:p>
          <w:p w:rsidR="004744CD" w:rsidRDefault="00C515D6" w:rsidP="00C515D6">
            <w:pPr>
              <w:pStyle w:val="BodyTextIndent"/>
              <w:tabs>
                <w:tab w:val="clear" w:pos="624"/>
                <w:tab w:val="clear" w:pos="1950"/>
                <w:tab w:val="clear" w:pos="8346"/>
              </w:tabs>
              <w:ind w:left="709" w:right="-22" w:hanging="709"/>
              <w:jc w:val="both"/>
              <w:rPr>
                <w:rFonts w:ascii="Arial" w:hAnsi="Arial" w:cs="Arial"/>
              </w:rPr>
            </w:pPr>
            <w:r w:rsidRPr="00274A57">
              <w:rPr>
                <w:rFonts w:ascii="Arial" w:hAnsi="Arial" w:cs="Arial"/>
              </w:rPr>
              <w:t>(</w:t>
            </w:r>
            <w:r w:rsidRPr="00BA6E6D">
              <w:rPr>
                <w:rFonts w:ascii="Arial" w:hAnsi="Arial" w:cs="Arial"/>
              </w:rPr>
              <w:t>ASC-1</w:t>
            </w:r>
            <w:r>
              <w:rPr>
                <w:rFonts w:ascii="Arial" w:hAnsi="Arial" w:cs="Arial"/>
              </w:rPr>
              <w:t>516-</w:t>
            </w:r>
            <w:r w:rsidR="00F85F32">
              <w:rPr>
                <w:rFonts w:ascii="Arial" w:hAnsi="Arial" w:cs="Arial"/>
              </w:rPr>
              <w:t>72</w:t>
            </w:r>
            <w:r w:rsidRPr="00BA6E6D">
              <w:rPr>
                <w:rFonts w:ascii="Arial" w:hAnsi="Arial" w:cs="Arial"/>
              </w:rPr>
              <w:t>)</w:t>
            </w:r>
          </w:p>
          <w:p w:rsidR="00E57F4F" w:rsidRPr="00C515D6" w:rsidRDefault="00E57F4F" w:rsidP="00C515D6">
            <w:pPr>
              <w:pStyle w:val="BodyTextIndent"/>
              <w:tabs>
                <w:tab w:val="clear" w:pos="624"/>
                <w:tab w:val="clear" w:pos="1950"/>
                <w:tab w:val="clear" w:pos="8346"/>
              </w:tabs>
              <w:ind w:left="709" w:right="-22" w:hanging="709"/>
              <w:jc w:val="both"/>
              <w:rPr>
                <w:rFonts w:ascii="Arial" w:hAnsi="Arial" w:cs="Arial"/>
                <w:b/>
              </w:rPr>
            </w:pPr>
          </w:p>
        </w:tc>
      </w:tr>
      <w:tr w:rsidR="004744CD"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4744CD" w:rsidRDefault="007F0716">
            <w:pPr>
              <w:rPr>
                <w:rFonts w:ascii="Arial" w:hAnsi="Arial" w:cs="Arial"/>
                <w:sz w:val="20"/>
                <w:szCs w:val="20"/>
              </w:rPr>
            </w:pPr>
            <w:r>
              <w:rPr>
                <w:rFonts w:ascii="Arial" w:hAnsi="Arial" w:cs="Arial"/>
                <w:sz w:val="20"/>
                <w:szCs w:val="20"/>
              </w:rPr>
              <w:t>5.4.1</w:t>
            </w:r>
          </w:p>
        </w:tc>
        <w:tc>
          <w:tcPr>
            <w:tcW w:w="8842" w:type="dxa"/>
            <w:gridSpan w:val="4"/>
            <w:tcBorders>
              <w:top w:val="nil"/>
              <w:left w:val="nil"/>
              <w:bottom w:val="nil"/>
              <w:right w:val="nil"/>
            </w:tcBorders>
          </w:tcPr>
          <w:p w:rsidR="00E57F4F" w:rsidRDefault="00301CEF" w:rsidP="00B67182">
            <w:pPr>
              <w:pStyle w:val="Textbodyindent"/>
              <w:ind w:left="709" w:right="-22" w:hanging="709"/>
              <w:jc w:val="both"/>
            </w:pPr>
            <w:r>
              <w:rPr>
                <w:b/>
              </w:rPr>
              <w:t xml:space="preserve">Noted:  </w:t>
            </w:r>
            <w:r>
              <w:t>The Committee noted the report.</w:t>
            </w:r>
          </w:p>
          <w:p w:rsidR="004744CD" w:rsidRDefault="004744CD">
            <w:pPr>
              <w:rPr>
                <w:rFonts w:ascii="Arial" w:hAnsi="Arial" w:cs="Arial"/>
                <w:sz w:val="20"/>
                <w:szCs w:val="20"/>
              </w:rPr>
            </w:pPr>
          </w:p>
        </w:tc>
      </w:tr>
      <w:tr w:rsidR="004744CD"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4744CD" w:rsidRPr="00ED427E" w:rsidRDefault="00ED427E">
            <w:pPr>
              <w:rPr>
                <w:rFonts w:ascii="Arial" w:hAnsi="Arial" w:cs="Arial"/>
                <w:sz w:val="20"/>
                <w:szCs w:val="20"/>
              </w:rPr>
            </w:pPr>
            <w:r>
              <w:rPr>
                <w:rFonts w:ascii="Arial" w:hAnsi="Arial" w:cs="Arial"/>
                <w:b/>
                <w:sz w:val="20"/>
                <w:szCs w:val="20"/>
              </w:rPr>
              <w:t>5.5</w:t>
            </w:r>
          </w:p>
        </w:tc>
        <w:tc>
          <w:tcPr>
            <w:tcW w:w="8842" w:type="dxa"/>
            <w:gridSpan w:val="4"/>
            <w:tcBorders>
              <w:top w:val="nil"/>
              <w:left w:val="nil"/>
              <w:bottom w:val="nil"/>
              <w:right w:val="nil"/>
            </w:tcBorders>
          </w:tcPr>
          <w:p w:rsidR="004744CD" w:rsidRDefault="00F85F32" w:rsidP="00ED427E">
            <w:pPr>
              <w:ind w:right="-22"/>
              <w:jc w:val="both"/>
              <w:rPr>
                <w:rFonts w:ascii="Arial" w:hAnsi="Arial" w:cs="Arial"/>
                <w:sz w:val="20"/>
                <w:szCs w:val="20"/>
              </w:rPr>
            </w:pPr>
            <w:r>
              <w:rPr>
                <w:rFonts w:ascii="Arial" w:hAnsi="Arial" w:cs="Arial"/>
                <w:b/>
                <w:sz w:val="20"/>
                <w:szCs w:val="20"/>
              </w:rPr>
              <w:t xml:space="preserve">Pending External Examiner Appointments </w:t>
            </w:r>
            <w:r w:rsidR="007F0716">
              <w:rPr>
                <w:rFonts w:ascii="Arial" w:hAnsi="Arial" w:cs="Arial"/>
                <w:sz w:val="20"/>
                <w:szCs w:val="20"/>
              </w:rPr>
              <w:t>(ASC-1516-</w:t>
            </w:r>
            <w:r>
              <w:rPr>
                <w:rFonts w:ascii="Arial" w:hAnsi="Arial" w:cs="Arial"/>
                <w:sz w:val="20"/>
                <w:szCs w:val="20"/>
              </w:rPr>
              <w:t>73</w:t>
            </w:r>
            <w:r w:rsidR="00ED427E">
              <w:rPr>
                <w:rFonts w:ascii="Arial" w:hAnsi="Arial" w:cs="Arial"/>
                <w:sz w:val="20"/>
                <w:szCs w:val="20"/>
              </w:rPr>
              <w:t>)</w:t>
            </w:r>
          </w:p>
          <w:p w:rsidR="00E57F4F" w:rsidRDefault="00E57F4F" w:rsidP="00ED427E">
            <w:pPr>
              <w:ind w:right="-22"/>
              <w:jc w:val="both"/>
              <w:rPr>
                <w:rFonts w:ascii="Arial" w:hAnsi="Arial" w:cs="Arial"/>
                <w:sz w:val="20"/>
                <w:szCs w:val="20"/>
              </w:rPr>
            </w:pPr>
          </w:p>
        </w:tc>
      </w:tr>
      <w:tr w:rsidR="00FC6FBB"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FC6FBB" w:rsidRDefault="00FC6FBB">
            <w:pPr>
              <w:rPr>
                <w:rFonts w:ascii="Arial" w:hAnsi="Arial" w:cs="Arial"/>
                <w:sz w:val="20"/>
                <w:szCs w:val="20"/>
              </w:rPr>
            </w:pPr>
            <w:r>
              <w:rPr>
                <w:rFonts w:ascii="Arial" w:hAnsi="Arial" w:cs="Arial"/>
                <w:sz w:val="20"/>
                <w:szCs w:val="20"/>
              </w:rPr>
              <w:t>5.5.1</w:t>
            </w:r>
          </w:p>
        </w:tc>
        <w:tc>
          <w:tcPr>
            <w:tcW w:w="8842" w:type="dxa"/>
            <w:gridSpan w:val="4"/>
            <w:tcBorders>
              <w:top w:val="nil"/>
              <w:left w:val="nil"/>
              <w:bottom w:val="nil"/>
              <w:right w:val="nil"/>
            </w:tcBorders>
          </w:tcPr>
          <w:p w:rsidR="00FC6FBB" w:rsidRDefault="00FC6FBB" w:rsidP="00B67182">
            <w:pPr>
              <w:jc w:val="both"/>
              <w:rPr>
                <w:rFonts w:ascii="Arial" w:hAnsi="Arial" w:cs="Arial"/>
                <w:sz w:val="20"/>
                <w:szCs w:val="20"/>
              </w:rPr>
            </w:pPr>
            <w:r>
              <w:rPr>
                <w:rFonts w:ascii="Arial" w:hAnsi="Arial" w:cs="Arial"/>
                <w:sz w:val="20"/>
                <w:szCs w:val="20"/>
              </w:rPr>
              <w:t xml:space="preserve">Ms Symonds provided an update on the list of External Examiners paper.  A nomination form for the BA (Hons) Business and Management External Examiner had been received in EDQ.  </w:t>
            </w:r>
          </w:p>
          <w:p w:rsidR="00FC6FBB" w:rsidRPr="00FC6FBB" w:rsidRDefault="00FC6FBB" w:rsidP="00FC6FBB">
            <w:pPr>
              <w:rPr>
                <w:rFonts w:ascii="Arial" w:hAnsi="Arial" w:cs="Arial"/>
                <w:sz w:val="20"/>
                <w:szCs w:val="20"/>
              </w:rPr>
            </w:pPr>
          </w:p>
        </w:tc>
      </w:tr>
      <w:tr w:rsidR="00FC6FBB"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FC6FBB" w:rsidRDefault="00FC6FBB">
            <w:pPr>
              <w:rPr>
                <w:rFonts w:ascii="Arial" w:hAnsi="Arial" w:cs="Arial"/>
                <w:sz w:val="20"/>
                <w:szCs w:val="20"/>
              </w:rPr>
            </w:pPr>
            <w:r>
              <w:rPr>
                <w:rFonts w:ascii="Arial" w:hAnsi="Arial" w:cs="Arial"/>
                <w:sz w:val="20"/>
                <w:szCs w:val="20"/>
              </w:rPr>
              <w:t>5.5.2</w:t>
            </w:r>
          </w:p>
        </w:tc>
        <w:tc>
          <w:tcPr>
            <w:tcW w:w="8842" w:type="dxa"/>
            <w:gridSpan w:val="4"/>
            <w:tcBorders>
              <w:top w:val="nil"/>
              <w:left w:val="nil"/>
              <w:bottom w:val="nil"/>
              <w:right w:val="nil"/>
            </w:tcBorders>
          </w:tcPr>
          <w:p w:rsidR="00FC6FBB" w:rsidRDefault="00FC6FBB" w:rsidP="00B67182">
            <w:pPr>
              <w:jc w:val="both"/>
              <w:rPr>
                <w:rFonts w:ascii="Arial" w:hAnsi="Arial" w:cs="Arial"/>
                <w:sz w:val="20"/>
                <w:szCs w:val="20"/>
              </w:rPr>
            </w:pPr>
            <w:r>
              <w:rPr>
                <w:rFonts w:ascii="Arial" w:hAnsi="Arial" w:cs="Arial"/>
                <w:sz w:val="20"/>
                <w:szCs w:val="20"/>
              </w:rPr>
              <w:t>A nomination form for the External Examiner for the FHSS programmes had been received and was now approved.</w:t>
            </w:r>
          </w:p>
          <w:p w:rsidR="00FC6FBB" w:rsidRDefault="00FC6FBB" w:rsidP="00FC6FBB">
            <w:pPr>
              <w:rPr>
                <w:rFonts w:ascii="Arial" w:hAnsi="Arial" w:cs="Arial"/>
                <w:sz w:val="20"/>
                <w:szCs w:val="20"/>
              </w:rPr>
            </w:pPr>
          </w:p>
        </w:tc>
      </w:tr>
      <w:tr w:rsidR="00FC6FBB"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FC6FBB" w:rsidRDefault="00FC6FBB">
            <w:pPr>
              <w:rPr>
                <w:rFonts w:ascii="Arial" w:hAnsi="Arial" w:cs="Arial"/>
                <w:sz w:val="20"/>
                <w:szCs w:val="20"/>
              </w:rPr>
            </w:pPr>
            <w:r>
              <w:rPr>
                <w:rFonts w:ascii="Arial" w:hAnsi="Arial" w:cs="Arial"/>
                <w:sz w:val="20"/>
                <w:szCs w:val="20"/>
              </w:rPr>
              <w:t>5.5.3</w:t>
            </w:r>
          </w:p>
        </w:tc>
        <w:tc>
          <w:tcPr>
            <w:tcW w:w="8842" w:type="dxa"/>
            <w:gridSpan w:val="4"/>
            <w:tcBorders>
              <w:top w:val="nil"/>
              <w:left w:val="nil"/>
              <w:bottom w:val="nil"/>
              <w:right w:val="nil"/>
            </w:tcBorders>
          </w:tcPr>
          <w:p w:rsidR="00FC6FBB" w:rsidRDefault="00FC6FBB" w:rsidP="00B67182">
            <w:pPr>
              <w:jc w:val="both"/>
              <w:rPr>
                <w:rFonts w:ascii="Arial" w:hAnsi="Arial" w:cs="Arial"/>
                <w:sz w:val="20"/>
                <w:szCs w:val="20"/>
              </w:rPr>
            </w:pPr>
            <w:r>
              <w:rPr>
                <w:rFonts w:ascii="Arial" w:hAnsi="Arial" w:cs="Arial"/>
                <w:sz w:val="20"/>
                <w:szCs w:val="20"/>
              </w:rPr>
              <w:t xml:space="preserve">The External Examiner for the MSc Archaeological Practice programme had agreed to extend his term and </w:t>
            </w:r>
            <w:r w:rsidR="00B67182">
              <w:rPr>
                <w:rFonts w:ascii="Arial" w:hAnsi="Arial" w:cs="Arial"/>
                <w:sz w:val="20"/>
                <w:szCs w:val="20"/>
              </w:rPr>
              <w:t xml:space="preserve">the </w:t>
            </w:r>
            <w:r>
              <w:rPr>
                <w:rFonts w:ascii="Arial" w:hAnsi="Arial" w:cs="Arial"/>
                <w:sz w:val="20"/>
                <w:szCs w:val="20"/>
              </w:rPr>
              <w:t xml:space="preserve">Extension Form had </w:t>
            </w:r>
            <w:r w:rsidR="00B67182">
              <w:rPr>
                <w:rFonts w:ascii="Arial" w:hAnsi="Arial" w:cs="Arial"/>
                <w:sz w:val="20"/>
                <w:szCs w:val="20"/>
              </w:rPr>
              <w:t xml:space="preserve">now </w:t>
            </w:r>
            <w:r>
              <w:rPr>
                <w:rFonts w:ascii="Arial" w:hAnsi="Arial" w:cs="Arial"/>
                <w:sz w:val="20"/>
                <w:szCs w:val="20"/>
              </w:rPr>
              <w:t xml:space="preserve">been completed. </w:t>
            </w:r>
            <w:r w:rsidR="00DD15BD">
              <w:rPr>
                <w:rFonts w:ascii="Arial" w:hAnsi="Arial" w:cs="Arial"/>
                <w:sz w:val="20"/>
                <w:szCs w:val="20"/>
              </w:rPr>
              <w:t xml:space="preserve">A nomination form had </w:t>
            </w:r>
            <w:r w:rsidR="00B67182">
              <w:rPr>
                <w:rFonts w:ascii="Arial" w:hAnsi="Arial" w:cs="Arial"/>
                <w:sz w:val="20"/>
                <w:szCs w:val="20"/>
              </w:rPr>
              <w:t xml:space="preserve">also </w:t>
            </w:r>
            <w:r w:rsidR="00DD15BD">
              <w:rPr>
                <w:rFonts w:ascii="Arial" w:hAnsi="Arial" w:cs="Arial"/>
                <w:sz w:val="20"/>
                <w:szCs w:val="20"/>
              </w:rPr>
              <w:t xml:space="preserve">been received for the </w:t>
            </w:r>
            <w:r>
              <w:rPr>
                <w:rFonts w:ascii="Arial" w:hAnsi="Arial" w:cs="Arial"/>
                <w:sz w:val="20"/>
                <w:szCs w:val="20"/>
              </w:rPr>
              <w:t xml:space="preserve">External Examiner for the </w:t>
            </w:r>
            <w:r w:rsidR="00DD15BD">
              <w:rPr>
                <w:rFonts w:ascii="Arial" w:hAnsi="Arial" w:cs="Arial"/>
                <w:sz w:val="20"/>
                <w:szCs w:val="20"/>
              </w:rPr>
              <w:t xml:space="preserve">remaining FST programmes and was currently out for review. </w:t>
            </w:r>
          </w:p>
        </w:tc>
      </w:tr>
      <w:tr w:rsidR="00FC6FBB"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FC6FBB" w:rsidRDefault="00FC6FBB">
            <w:pPr>
              <w:rPr>
                <w:rFonts w:ascii="Arial" w:hAnsi="Arial" w:cs="Arial"/>
                <w:sz w:val="20"/>
                <w:szCs w:val="20"/>
              </w:rPr>
            </w:pPr>
          </w:p>
        </w:tc>
        <w:tc>
          <w:tcPr>
            <w:tcW w:w="8842" w:type="dxa"/>
            <w:gridSpan w:val="4"/>
            <w:tcBorders>
              <w:top w:val="nil"/>
              <w:left w:val="nil"/>
              <w:bottom w:val="nil"/>
              <w:right w:val="nil"/>
            </w:tcBorders>
          </w:tcPr>
          <w:p w:rsidR="00FC6FBB" w:rsidRPr="00776CE6" w:rsidRDefault="00FC6FBB">
            <w:pPr>
              <w:rPr>
                <w:rFonts w:ascii="Arial" w:hAnsi="Arial" w:cs="Arial"/>
                <w:i/>
                <w:sz w:val="20"/>
                <w:szCs w:val="20"/>
              </w:rPr>
            </w:pPr>
          </w:p>
        </w:tc>
      </w:tr>
      <w:tr w:rsidR="004744CD"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4744CD" w:rsidRDefault="00DD15BD" w:rsidP="00DD15BD">
            <w:pPr>
              <w:rPr>
                <w:rFonts w:ascii="Arial" w:hAnsi="Arial" w:cs="Arial"/>
                <w:sz w:val="20"/>
                <w:szCs w:val="20"/>
              </w:rPr>
            </w:pPr>
            <w:r>
              <w:rPr>
                <w:rFonts w:ascii="Arial" w:hAnsi="Arial" w:cs="Arial"/>
                <w:sz w:val="20"/>
                <w:szCs w:val="20"/>
              </w:rPr>
              <w:t>5.5.4</w:t>
            </w:r>
          </w:p>
        </w:tc>
        <w:tc>
          <w:tcPr>
            <w:tcW w:w="8842" w:type="dxa"/>
            <w:gridSpan w:val="4"/>
            <w:tcBorders>
              <w:top w:val="nil"/>
              <w:left w:val="nil"/>
              <w:bottom w:val="nil"/>
              <w:right w:val="nil"/>
            </w:tcBorders>
          </w:tcPr>
          <w:p w:rsidR="00301CEF" w:rsidRDefault="00301CEF" w:rsidP="00301CEF">
            <w:pPr>
              <w:pStyle w:val="Textbodyindent"/>
              <w:ind w:left="709" w:right="-22" w:hanging="709"/>
              <w:jc w:val="both"/>
            </w:pPr>
            <w:r>
              <w:rPr>
                <w:b/>
              </w:rPr>
              <w:t xml:space="preserve">Noted:  </w:t>
            </w:r>
            <w:r>
              <w:t>The Committee noted the report.</w:t>
            </w:r>
          </w:p>
          <w:p w:rsidR="00B67182" w:rsidRDefault="00B67182" w:rsidP="00301CEF">
            <w:pPr>
              <w:pStyle w:val="Textbodyindent"/>
              <w:ind w:left="709" w:right="-22" w:hanging="709"/>
              <w:jc w:val="both"/>
            </w:pPr>
          </w:p>
          <w:p w:rsidR="00ED427E" w:rsidRDefault="00ED427E">
            <w:pPr>
              <w:rPr>
                <w:rFonts w:ascii="Arial" w:hAnsi="Arial" w:cs="Arial"/>
                <w:sz w:val="20"/>
                <w:szCs w:val="20"/>
              </w:rPr>
            </w:pPr>
          </w:p>
        </w:tc>
      </w:tr>
      <w:tr w:rsidR="004744CD"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4744CD" w:rsidRDefault="00ED427E">
            <w:pPr>
              <w:rPr>
                <w:rFonts w:ascii="Arial" w:hAnsi="Arial" w:cs="Arial"/>
                <w:b/>
                <w:sz w:val="20"/>
                <w:szCs w:val="20"/>
              </w:rPr>
            </w:pPr>
            <w:r>
              <w:rPr>
                <w:rFonts w:ascii="Arial" w:hAnsi="Arial" w:cs="Arial"/>
                <w:b/>
                <w:sz w:val="20"/>
                <w:szCs w:val="20"/>
              </w:rPr>
              <w:lastRenderedPageBreak/>
              <w:t>5.6</w:t>
            </w:r>
          </w:p>
          <w:p w:rsidR="007F0716" w:rsidRDefault="007F0716">
            <w:pPr>
              <w:rPr>
                <w:rFonts w:ascii="Arial" w:hAnsi="Arial" w:cs="Arial"/>
                <w:b/>
                <w:sz w:val="20"/>
                <w:szCs w:val="20"/>
              </w:rPr>
            </w:pPr>
          </w:p>
          <w:p w:rsidR="00F85F32" w:rsidRDefault="00F85F32">
            <w:pPr>
              <w:rPr>
                <w:rFonts w:ascii="Arial" w:hAnsi="Arial" w:cs="Arial"/>
                <w:sz w:val="20"/>
                <w:szCs w:val="20"/>
              </w:rPr>
            </w:pPr>
          </w:p>
          <w:p w:rsidR="007F0716" w:rsidRDefault="007F0716">
            <w:pPr>
              <w:rPr>
                <w:rFonts w:ascii="Arial" w:hAnsi="Arial" w:cs="Arial"/>
                <w:sz w:val="20"/>
                <w:szCs w:val="20"/>
              </w:rPr>
            </w:pPr>
            <w:r w:rsidRPr="007F0716">
              <w:rPr>
                <w:rFonts w:ascii="Arial" w:hAnsi="Arial" w:cs="Arial"/>
                <w:sz w:val="20"/>
                <w:szCs w:val="20"/>
              </w:rPr>
              <w:t>5.6.1</w:t>
            </w:r>
          </w:p>
          <w:p w:rsidR="00F85F32" w:rsidRPr="007F0716" w:rsidRDefault="00F85F32">
            <w:pPr>
              <w:rPr>
                <w:rFonts w:ascii="Arial" w:hAnsi="Arial" w:cs="Arial"/>
                <w:sz w:val="20"/>
                <w:szCs w:val="20"/>
              </w:rPr>
            </w:pPr>
          </w:p>
        </w:tc>
        <w:tc>
          <w:tcPr>
            <w:tcW w:w="8842" w:type="dxa"/>
            <w:gridSpan w:val="4"/>
            <w:tcBorders>
              <w:top w:val="nil"/>
              <w:left w:val="nil"/>
              <w:bottom w:val="nil"/>
              <w:right w:val="nil"/>
            </w:tcBorders>
          </w:tcPr>
          <w:p w:rsidR="00F85F32" w:rsidRDefault="00F85F32" w:rsidP="00ED427E">
            <w:pPr>
              <w:ind w:left="720" w:right="-22" w:hanging="720"/>
              <w:jc w:val="both"/>
              <w:rPr>
                <w:rFonts w:ascii="Arial" w:hAnsi="Arial" w:cs="Arial"/>
                <w:b/>
                <w:sz w:val="20"/>
                <w:szCs w:val="20"/>
              </w:rPr>
            </w:pPr>
            <w:r>
              <w:rPr>
                <w:rFonts w:ascii="Arial" w:hAnsi="Arial" w:cs="Arial"/>
                <w:b/>
                <w:sz w:val="20"/>
                <w:szCs w:val="20"/>
              </w:rPr>
              <w:t>External Examiner Nominations and Examination Teams for Research Degrees</w:t>
            </w:r>
            <w:r w:rsidR="007F0716">
              <w:rPr>
                <w:rFonts w:ascii="Arial" w:hAnsi="Arial" w:cs="Arial"/>
                <w:b/>
                <w:sz w:val="20"/>
                <w:szCs w:val="20"/>
              </w:rPr>
              <w:t xml:space="preserve"> </w:t>
            </w:r>
          </w:p>
          <w:p w:rsidR="00F85F32" w:rsidRDefault="007F0716" w:rsidP="00ED427E">
            <w:pPr>
              <w:ind w:left="720" w:right="-22" w:hanging="720"/>
              <w:jc w:val="both"/>
              <w:rPr>
                <w:rFonts w:ascii="Arial" w:hAnsi="Arial" w:cs="Arial"/>
                <w:sz w:val="20"/>
                <w:szCs w:val="20"/>
              </w:rPr>
            </w:pPr>
            <w:r>
              <w:rPr>
                <w:rFonts w:ascii="Arial" w:hAnsi="Arial" w:cs="Arial"/>
                <w:sz w:val="20"/>
                <w:szCs w:val="20"/>
              </w:rPr>
              <w:t>(ASC-1516-</w:t>
            </w:r>
            <w:r w:rsidR="00F85F32">
              <w:rPr>
                <w:rFonts w:ascii="Arial" w:hAnsi="Arial" w:cs="Arial"/>
                <w:sz w:val="20"/>
                <w:szCs w:val="20"/>
              </w:rPr>
              <w:t>74</w:t>
            </w:r>
            <w:r w:rsidR="00ED427E">
              <w:rPr>
                <w:rFonts w:ascii="Arial" w:hAnsi="Arial" w:cs="Arial"/>
                <w:sz w:val="20"/>
                <w:szCs w:val="20"/>
              </w:rPr>
              <w:t>)</w:t>
            </w:r>
          </w:p>
          <w:p w:rsidR="007F0716" w:rsidRDefault="007F0716" w:rsidP="00ED427E">
            <w:pPr>
              <w:ind w:left="720" w:right="-22" w:hanging="720"/>
              <w:jc w:val="both"/>
              <w:rPr>
                <w:rFonts w:ascii="Arial" w:hAnsi="Arial" w:cs="Arial"/>
                <w:sz w:val="20"/>
                <w:szCs w:val="20"/>
              </w:rPr>
            </w:pPr>
          </w:p>
          <w:p w:rsidR="00E57F4F" w:rsidRDefault="00301CEF" w:rsidP="00B67182">
            <w:pPr>
              <w:pStyle w:val="Textbodyindent"/>
              <w:ind w:left="709" w:right="-22" w:hanging="709"/>
              <w:jc w:val="both"/>
            </w:pPr>
            <w:r>
              <w:rPr>
                <w:b/>
              </w:rPr>
              <w:t xml:space="preserve">Noted:  </w:t>
            </w:r>
            <w:r>
              <w:t>The Committee noted the report.</w:t>
            </w:r>
          </w:p>
          <w:p w:rsidR="00B67182" w:rsidRDefault="00B67182" w:rsidP="00B67182">
            <w:pPr>
              <w:pStyle w:val="Textbodyindent"/>
              <w:ind w:left="709" w:right="-22" w:hanging="709"/>
              <w:jc w:val="both"/>
            </w:pPr>
            <w:bookmarkStart w:id="0" w:name="_GoBack"/>
            <w:bookmarkEnd w:id="0"/>
          </w:p>
        </w:tc>
      </w:tr>
      <w:tr w:rsidR="004744CD"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4744CD" w:rsidRDefault="00ED427E">
            <w:pPr>
              <w:rPr>
                <w:rFonts w:ascii="Arial" w:hAnsi="Arial" w:cs="Arial"/>
                <w:b/>
                <w:sz w:val="20"/>
                <w:szCs w:val="20"/>
              </w:rPr>
            </w:pPr>
            <w:r>
              <w:rPr>
                <w:rFonts w:ascii="Arial" w:hAnsi="Arial" w:cs="Arial"/>
                <w:b/>
                <w:sz w:val="20"/>
                <w:szCs w:val="20"/>
              </w:rPr>
              <w:t>5.7</w:t>
            </w:r>
          </w:p>
          <w:p w:rsidR="007F0716" w:rsidRDefault="007F0716">
            <w:pPr>
              <w:rPr>
                <w:rFonts w:ascii="Arial" w:hAnsi="Arial" w:cs="Arial"/>
                <w:b/>
                <w:sz w:val="20"/>
                <w:szCs w:val="20"/>
              </w:rPr>
            </w:pPr>
          </w:p>
          <w:p w:rsidR="007F0716" w:rsidRDefault="00F85F32">
            <w:pPr>
              <w:rPr>
                <w:rFonts w:ascii="Arial" w:hAnsi="Arial" w:cs="Arial"/>
                <w:sz w:val="20"/>
                <w:szCs w:val="20"/>
              </w:rPr>
            </w:pPr>
            <w:r>
              <w:rPr>
                <w:rFonts w:ascii="Arial" w:hAnsi="Arial" w:cs="Arial"/>
                <w:sz w:val="20"/>
                <w:szCs w:val="20"/>
              </w:rPr>
              <w:t>5.7.1</w:t>
            </w:r>
          </w:p>
          <w:p w:rsidR="00F85F32" w:rsidRDefault="00F85F32">
            <w:pPr>
              <w:rPr>
                <w:rFonts w:ascii="Arial" w:hAnsi="Arial" w:cs="Arial"/>
                <w:sz w:val="20"/>
                <w:szCs w:val="20"/>
              </w:rPr>
            </w:pPr>
          </w:p>
          <w:p w:rsidR="00F85F32" w:rsidRPr="007F0716" w:rsidRDefault="00F85F32">
            <w:pPr>
              <w:rPr>
                <w:rFonts w:ascii="Arial" w:hAnsi="Arial" w:cs="Arial"/>
                <w:sz w:val="20"/>
                <w:szCs w:val="20"/>
              </w:rPr>
            </w:pPr>
          </w:p>
        </w:tc>
        <w:tc>
          <w:tcPr>
            <w:tcW w:w="8842" w:type="dxa"/>
            <w:gridSpan w:val="4"/>
            <w:tcBorders>
              <w:top w:val="nil"/>
              <w:left w:val="nil"/>
              <w:bottom w:val="nil"/>
              <w:right w:val="nil"/>
            </w:tcBorders>
          </w:tcPr>
          <w:p w:rsidR="004744CD" w:rsidRDefault="00F85F32" w:rsidP="00ED427E">
            <w:pPr>
              <w:ind w:left="720" w:right="-22" w:hanging="720"/>
              <w:jc w:val="both"/>
              <w:rPr>
                <w:rFonts w:ascii="Arial" w:hAnsi="Arial" w:cs="Arial"/>
                <w:sz w:val="20"/>
                <w:szCs w:val="20"/>
              </w:rPr>
            </w:pPr>
            <w:r>
              <w:rPr>
                <w:rFonts w:ascii="Arial" w:hAnsi="Arial" w:cs="Arial"/>
                <w:b/>
                <w:sz w:val="20"/>
                <w:szCs w:val="20"/>
              </w:rPr>
              <w:t>BU Institutional Review Report for Pearson 2014/15 (previously Edexcel)</w:t>
            </w:r>
            <w:r w:rsidR="007F0716">
              <w:rPr>
                <w:rFonts w:ascii="Arial" w:hAnsi="Arial" w:cs="Arial"/>
                <w:b/>
                <w:sz w:val="20"/>
                <w:szCs w:val="20"/>
              </w:rPr>
              <w:t xml:space="preserve"> (</w:t>
            </w:r>
            <w:r w:rsidR="007F0716">
              <w:rPr>
                <w:rFonts w:ascii="Arial" w:hAnsi="Arial" w:cs="Arial"/>
                <w:sz w:val="20"/>
                <w:szCs w:val="20"/>
              </w:rPr>
              <w:t>ASC-1516-</w:t>
            </w:r>
            <w:r>
              <w:rPr>
                <w:rFonts w:ascii="Arial" w:hAnsi="Arial" w:cs="Arial"/>
                <w:sz w:val="20"/>
                <w:szCs w:val="20"/>
              </w:rPr>
              <w:t>75</w:t>
            </w:r>
            <w:r w:rsidR="00ED427E">
              <w:rPr>
                <w:rFonts w:ascii="Arial" w:hAnsi="Arial" w:cs="Arial"/>
                <w:sz w:val="20"/>
                <w:szCs w:val="20"/>
              </w:rPr>
              <w:t>)</w:t>
            </w:r>
          </w:p>
          <w:p w:rsidR="007F0716" w:rsidRDefault="007F0716" w:rsidP="00ED427E">
            <w:pPr>
              <w:ind w:left="720" w:right="-22" w:hanging="720"/>
              <w:jc w:val="both"/>
              <w:rPr>
                <w:rFonts w:ascii="Arial" w:hAnsi="Arial" w:cs="Arial"/>
                <w:sz w:val="20"/>
                <w:szCs w:val="20"/>
              </w:rPr>
            </w:pPr>
          </w:p>
          <w:p w:rsidR="00301CEF" w:rsidRDefault="00301CEF" w:rsidP="00301CEF">
            <w:pPr>
              <w:pStyle w:val="Textbodyindent"/>
              <w:ind w:left="709" w:right="-22" w:hanging="709"/>
              <w:jc w:val="both"/>
            </w:pPr>
            <w:r>
              <w:rPr>
                <w:b/>
              </w:rPr>
              <w:t xml:space="preserve">Noted:  </w:t>
            </w:r>
            <w:r>
              <w:t>The Committee noted the report.</w:t>
            </w:r>
          </w:p>
          <w:p w:rsidR="007F0716" w:rsidRDefault="007F0716" w:rsidP="00ED427E">
            <w:pPr>
              <w:ind w:left="720" w:right="-22" w:hanging="720"/>
              <w:jc w:val="both"/>
              <w:rPr>
                <w:rFonts w:ascii="Arial" w:hAnsi="Arial" w:cs="Arial"/>
                <w:sz w:val="20"/>
                <w:szCs w:val="20"/>
              </w:rPr>
            </w:pPr>
          </w:p>
          <w:p w:rsidR="00E57F4F" w:rsidRDefault="00E57F4F" w:rsidP="00ED427E">
            <w:pPr>
              <w:ind w:left="720" w:right="-22" w:hanging="720"/>
              <w:jc w:val="both"/>
              <w:rPr>
                <w:rFonts w:ascii="Arial" w:hAnsi="Arial" w:cs="Arial"/>
                <w:sz w:val="20"/>
                <w:szCs w:val="20"/>
              </w:rPr>
            </w:pPr>
          </w:p>
        </w:tc>
      </w:tr>
      <w:tr w:rsidR="004744CD"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4744CD" w:rsidRPr="00ED427E" w:rsidRDefault="00ED427E">
            <w:pPr>
              <w:rPr>
                <w:rFonts w:ascii="Arial" w:hAnsi="Arial" w:cs="Arial"/>
                <w:b/>
                <w:sz w:val="20"/>
                <w:szCs w:val="20"/>
              </w:rPr>
            </w:pPr>
            <w:r>
              <w:rPr>
                <w:rFonts w:ascii="Arial" w:hAnsi="Arial" w:cs="Arial"/>
                <w:b/>
                <w:sz w:val="20"/>
                <w:szCs w:val="20"/>
              </w:rPr>
              <w:t>6</w:t>
            </w:r>
          </w:p>
        </w:tc>
        <w:tc>
          <w:tcPr>
            <w:tcW w:w="8842" w:type="dxa"/>
            <w:gridSpan w:val="4"/>
            <w:tcBorders>
              <w:top w:val="nil"/>
              <w:left w:val="nil"/>
              <w:bottom w:val="nil"/>
              <w:right w:val="nil"/>
            </w:tcBorders>
          </w:tcPr>
          <w:p w:rsidR="004744CD" w:rsidRDefault="00ED427E">
            <w:pPr>
              <w:rPr>
                <w:rFonts w:ascii="Arial" w:hAnsi="Arial" w:cs="Arial"/>
                <w:b/>
                <w:sz w:val="20"/>
                <w:szCs w:val="20"/>
              </w:rPr>
            </w:pPr>
            <w:r w:rsidRPr="00ED427E">
              <w:rPr>
                <w:rFonts w:ascii="Arial" w:hAnsi="Arial" w:cs="Arial"/>
                <w:b/>
                <w:sz w:val="20"/>
                <w:szCs w:val="20"/>
              </w:rPr>
              <w:t>REPORTING COMMITTEES</w:t>
            </w:r>
          </w:p>
          <w:p w:rsidR="00E57F4F" w:rsidRPr="00ED427E" w:rsidRDefault="00E57F4F">
            <w:pPr>
              <w:rPr>
                <w:rFonts w:ascii="Arial" w:hAnsi="Arial" w:cs="Arial"/>
                <w:b/>
                <w:sz w:val="20"/>
                <w:szCs w:val="20"/>
              </w:rPr>
            </w:pPr>
          </w:p>
        </w:tc>
      </w:tr>
      <w:tr w:rsidR="00F85F32"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F85F32" w:rsidRDefault="00F85F32">
            <w:pPr>
              <w:rPr>
                <w:rFonts w:ascii="Arial" w:hAnsi="Arial" w:cs="Arial"/>
                <w:sz w:val="20"/>
                <w:szCs w:val="20"/>
              </w:rPr>
            </w:pPr>
            <w:r>
              <w:rPr>
                <w:rFonts w:ascii="Arial" w:hAnsi="Arial" w:cs="Arial"/>
                <w:sz w:val="20"/>
                <w:szCs w:val="20"/>
              </w:rPr>
              <w:t>6.1</w:t>
            </w:r>
          </w:p>
          <w:p w:rsidR="00F85F32" w:rsidRDefault="00F85F32">
            <w:pPr>
              <w:rPr>
                <w:rFonts w:ascii="Arial" w:hAnsi="Arial" w:cs="Arial"/>
                <w:sz w:val="20"/>
                <w:szCs w:val="20"/>
              </w:rPr>
            </w:pPr>
          </w:p>
          <w:p w:rsidR="00F85F32" w:rsidRPr="00F85F32" w:rsidRDefault="00F85F32">
            <w:pPr>
              <w:rPr>
                <w:rFonts w:ascii="Arial" w:hAnsi="Arial" w:cs="Arial"/>
                <w:sz w:val="20"/>
                <w:szCs w:val="20"/>
              </w:rPr>
            </w:pPr>
            <w:r>
              <w:rPr>
                <w:rFonts w:ascii="Arial" w:hAnsi="Arial" w:cs="Arial"/>
                <w:sz w:val="20"/>
                <w:szCs w:val="20"/>
              </w:rPr>
              <w:t>6.1.1</w:t>
            </w:r>
          </w:p>
        </w:tc>
        <w:tc>
          <w:tcPr>
            <w:tcW w:w="8842" w:type="dxa"/>
            <w:gridSpan w:val="4"/>
            <w:tcBorders>
              <w:top w:val="nil"/>
              <w:left w:val="nil"/>
              <w:bottom w:val="nil"/>
              <w:right w:val="nil"/>
            </w:tcBorders>
          </w:tcPr>
          <w:p w:rsidR="00F85F32" w:rsidRDefault="00F85F32">
            <w:pPr>
              <w:rPr>
                <w:rFonts w:ascii="Arial" w:hAnsi="Arial" w:cs="Arial"/>
                <w:sz w:val="20"/>
                <w:szCs w:val="20"/>
              </w:rPr>
            </w:pPr>
            <w:r>
              <w:rPr>
                <w:rFonts w:ascii="Arial" w:hAnsi="Arial" w:cs="Arial"/>
                <w:b/>
                <w:sz w:val="20"/>
                <w:szCs w:val="20"/>
              </w:rPr>
              <w:t>Partnership Board Minutes</w:t>
            </w:r>
            <w:r>
              <w:rPr>
                <w:rFonts w:ascii="Arial" w:hAnsi="Arial" w:cs="Arial"/>
                <w:sz w:val="20"/>
                <w:szCs w:val="20"/>
              </w:rPr>
              <w:t xml:space="preserve"> (ASC-1516-76)</w:t>
            </w:r>
          </w:p>
          <w:p w:rsidR="00F85F32" w:rsidRDefault="00F85F32">
            <w:pPr>
              <w:rPr>
                <w:rFonts w:ascii="Arial" w:hAnsi="Arial" w:cs="Arial"/>
                <w:sz w:val="20"/>
                <w:szCs w:val="20"/>
              </w:rPr>
            </w:pPr>
          </w:p>
          <w:p w:rsidR="00F85F32" w:rsidRPr="00301CEF" w:rsidRDefault="00F85F32" w:rsidP="00F85F32">
            <w:pPr>
              <w:rPr>
                <w:rFonts w:ascii="Arial" w:hAnsi="Arial" w:cs="Arial"/>
                <w:sz w:val="20"/>
                <w:szCs w:val="20"/>
              </w:rPr>
            </w:pPr>
            <w:r w:rsidRPr="00301CEF">
              <w:rPr>
                <w:rFonts w:ascii="Arial" w:hAnsi="Arial" w:cs="Arial"/>
                <w:b/>
                <w:sz w:val="20"/>
                <w:szCs w:val="20"/>
              </w:rPr>
              <w:t>Noted:</w:t>
            </w:r>
            <w:r w:rsidRPr="00301CEF">
              <w:rPr>
                <w:rFonts w:ascii="Arial" w:hAnsi="Arial" w:cs="Arial"/>
                <w:sz w:val="20"/>
                <w:szCs w:val="20"/>
              </w:rPr>
              <w:t xml:space="preserve">  The Partnership Board minutes listed below were noted.</w:t>
            </w:r>
          </w:p>
          <w:p w:rsidR="00F85F32" w:rsidRDefault="00F85F32" w:rsidP="00F85F32">
            <w:pPr>
              <w:rPr>
                <w:rFonts w:ascii="Arial" w:hAnsi="Arial" w:cs="Arial"/>
                <w:sz w:val="20"/>
                <w:szCs w:val="20"/>
              </w:rPr>
            </w:pPr>
          </w:p>
          <w:p w:rsidR="00F85F32" w:rsidRPr="00301CEF" w:rsidRDefault="00F85F32" w:rsidP="00F85F32">
            <w:pPr>
              <w:pStyle w:val="ListParagraph"/>
              <w:numPr>
                <w:ilvl w:val="0"/>
                <w:numId w:val="5"/>
              </w:numPr>
              <w:rPr>
                <w:rFonts w:ascii="Arial" w:hAnsi="Arial" w:cs="Arial"/>
                <w:sz w:val="20"/>
                <w:szCs w:val="20"/>
              </w:rPr>
            </w:pPr>
            <w:r w:rsidRPr="00301CEF">
              <w:rPr>
                <w:rFonts w:ascii="Arial" w:hAnsi="Arial" w:cs="Arial"/>
                <w:sz w:val="20"/>
                <w:szCs w:val="20"/>
              </w:rPr>
              <w:t>Sony Computer Entertainment Europe (SCEE) minutes of 17 November 2015 (unconfirmed)</w:t>
            </w:r>
          </w:p>
          <w:p w:rsidR="00F85F32" w:rsidRPr="00301CEF" w:rsidRDefault="00F85F32" w:rsidP="00F85F32">
            <w:pPr>
              <w:pStyle w:val="ListParagraph"/>
              <w:numPr>
                <w:ilvl w:val="0"/>
                <w:numId w:val="5"/>
              </w:numPr>
              <w:rPr>
                <w:rFonts w:ascii="Arial" w:hAnsi="Arial" w:cs="Arial"/>
                <w:sz w:val="20"/>
                <w:szCs w:val="20"/>
              </w:rPr>
            </w:pPr>
            <w:r w:rsidRPr="00301CEF">
              <w:rPr>
                <w:rFonts w:ascii="Arial" w:hAnsi="Arial" w:cs="Arial"/>
                <w:sz w:val="20"/>
                <w:szCs w:val="20"/>
              </w:rPr>
              <w:t>Bournemouth &amp; Poole College minutes of 25 November 2015 (unconfirmed)</w:t>
            </w:r>
          </w:p>
          <w:p w:rsidR="00F85F32" w:rsidRPr="00301CEF" w:rsidRDefault="00F85F32" w:rsidP="00F85F32">
            <w:pPr>
              <w:pStyle w:val="ListParagraph"/>
              <w:numPr>
                <w:ilvl w:val="0"/>
                <w:numId w:val="5"/>
              </w:numPr>
              <w:rPr>
                <w:rFonts w:ascii="Arial" w:hAnsi="Arial" w:cs="Arial"/>
                <w:sz w:val="20"/>
                <w:szCs w:val="20"/>
              </w:rPr>
            </w:pPr>
            <w:r w:rsidRPr="00301CEF">
              <w:rPr>
                <w:rFonts w:ascii="Arial" w:hAnsi="Arial" w:cs="Arial"/>
                <w:sz w:val="20"/>
                <w:szCs w:val="20"/>
              </w:rPr>
              <w:t>Wiltshire College minutes of 25 November 2015 (unconfirmed)</w:t>
            </w:r>
          </w:p>
          <w:p w:rsidR="00F85F32" w:rsidRPr="00301CEF" w:rsidRDefault="00F85F32" w:rsidP="00F85F32">
            <w:pPr>
              <w:pStyle w:val="ListParagraph"/>
              <w:numPr>
                <w:ilvl w:val="0"/>
                <w:numId w:val="5"/>
              </w:numPr>
              <w:rPr>
                <w:rFonts w:ascii="Arial" w:hAnsi="Arial" w:cs="Arial"/>
                <w:sz w:val="20"/>
                <w:szCs w:val="20"/>
              </w:rPr>
            </w:pPr>
            <w:r w:rsidRPr="00301CEF">
              <w:rPr>
                <w:rFonts w:ascii="Arial" w:hAnsi="Arial" w:cs="Arial"/>
                <w:sz w:val="20"/>
                <w:szCs w:val="20"/>
              </w:rPr>
              <w:t>AECC minutes of 2 December 2015 (unconfirmed)</w:t>
            </w:r>
          </w:p>
          <w:p w:rsidR="00F85F32" w:rsidRPr="00F85F32" w:rsidRDefault="00F85F32" w:rsidP="00F85F32">
            <w:pPr>
              <w:pStyle w:val="ListParagraph"/>
              <w:numPr>
                <w:ilvl w:val="0"/>
                <w:numId w:val="5"/>
              </w:numPr>
              <w:rPr>
                <w:rFonts w:ascii="Arial" w:hAnsi="Arial" w:cs="Arial"/>
                <w:sz w:val="20"/>
                <w:szCs w:val="20"/>
              </w:rPr>
            </w:pPr>
            <w:r w:rsidRPr="00301CEF">
              <w:rPr>
                <w:rFonts w:ascii="Arial" w:hAnsi="Arial" w:cs="Arial"/>
                <w:sz w:val="20"/>
                <w:szCs w:val="20"/>
              </w:rPr>
              <w:t>Guernsey Training Agency (GTA) minutes of 9 December 2015 (unconfirmed)</w:t>
            </w:r>
          </w:p>
        </w:tc>
      </w:tr>
      <w:tr w:rsidR="00F85F32"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F85F32" w:rsidRDefault="00F85F32">
            <w:pPr>
              <w:rPr>
                <w:rFonts w:ascii="Arial" w:hAnsi="Arial" w:cs="Arial"/>
                <w:sz w:val="20"/>
                <w:szCs w:val="20"/>
              </w:rPr>
            </w:pPr>
          </w:p>
          <w:p w:rsidR="00301CEF" w:rsidRDefault="00301CEF">
            <w:pPr>
              <w:rPr>
                <w:rFonts w:ascii="Arial" w:hAnsi="Arial" w:cs="Arial"/>
                <w:b/>
                <w:sz w:val="20"/>
                <w:szCs w:val="20"/>
              </w:rPr>
            </w:pPr>
          </w:p>
          <w:p w:rsidR="00F85F32" w:rsidRPr="00A941E4" w:rsidRDefault="00F85F32">
            <w:pPr>
              <w:rPr>
                <w:rFonts w:ascii="Arial" w:hAnsi="Arial" w:cs="Arial"/>
                <w:b/>
                <w:sz w:val="20"/>
                <w:szCs w:val="20"/>
              </w:rPr>
            </w:pPr>
            <w:r w:rsidRPr="00A941E4">
              <w:rPr>
                <w:rFonts w:ascii="Arial" w:hAnsi="Arial" w:cs="Arial"/>
                <w:b/>
                <w:sz w:val="20"/>
                <w:szCs w:val="20"/>
              </w:rPr>
              <w:t>6.2</w:t>
            </w:r>
          </w:p>
          <w:p w:rsidR="00F85F32" w:rsidRDefault="00F85F32">
            <w:pPr>
              <w:rPr>
                <w:rFonts w:ascii="Arial" w:hAnsi="Arial" w:cs="Arial"/>
                <w:sz w:val="20"/>
                <w:szCs w:val="20"/>
              </w:rPr>
            </w:pPr>
          </w:p>
          <w:p w:rsidR="00F85F32" w:rsidRDefault="00F85F32">
            <w:pPr>
              <w:rPr>
                <w:rFonts w:ascii="Arial" w:hAnsi="Arial" w:cs="Arial"/>
                <w:sz w:val="20"/>
                <w:szCs w:val="20"/>
              </w:rPr>
            </w:pPr>
            <w:r>
              <w:rPr>
                <w:rFonts w:ascii="Arial" w:hAnsi="Arial" w:cs="Arial"/>
                <w:sz w:val="20"/>
                <w:szCs w:val="20"/>
              </w:rPr>
              <w:t>6.2.1</w:t>
            </w:r>
          </w:p>
        </w:tc>
        <w:tc>
          <w:tcPr>
            <w:tcW w:w="8842" w:type="dxa"/>
            <w:gridSpan w:val="4"/>
            <w:tcBorders>
              <w:top w:val="nil"/>
              <w:left w:val="nil"/>
              <w:bottom w:val="nil"/>
              <w:right w:val="nil"/>
            </w:tcBorders>
          </w:tcPr>
          <w:p w:rsidR="00F85F32" w:rsidRDefault="00F85F32">
            <w:pPr>
              <w:rPr>
                <w:rFonts w:ascii="Arial" w:hAnsi="Arial" w:cs="Arial"/>
                <w:b/>
                <w:sz w:val="20"/>
                <w:szCs w:val="20"/>
              </w:rPr>
            </w:pPr>
          </w:p>
          <w:p w:rsidR="00301CEF" w:rsidRDefault="00301CEF">
            <w:pPr>
              <w:rPr>
                <w:rFonts w:ascii="Arial" w:hAnsi="Arial" w:cs="Arial"/>
                <w:b/>
                <w:sz w:val="20"/>
                <w:szCs w:val="20"/>
              </w:rPr>
            </w:pPr>
          </w:p>
          <w:p w:rsidR="00F85F32" w:rsidRPr="00A941E4" w:rsidRDefault="00F85F32">
            <w:pPr>
              <w:rPr>
                <w:rFonts w:ascii="Arial" w:hAnsi="Arial" w:cs="Arial"/>
                <w:sz w:val="20"/>
                <w:szCs w:val="20"/>
              </w:rPr>
            </w:pPr>
            <w:r>
              <w:rPr>
                <w:rFonts w:ascii="Arial" w:hAnsi="Arial" w:cs="Arial"/>
                <w:b/>
                <w:sz w:val="20"/>
                <w:szCs w:val="20"/>
              </w:rPr>
              <w:t>Quality Assurance Standing Group (QASG) Minutes</w:t>
            </w:r>
            <w:r w:rsidR="00A941E4">
              <w:rPr>
                <w:rFonts w:ascii="Arial" w:hAnsi="Arial" w:cs="Arial"/>
                <w:sz w:val="20"/>
                <w:szCs w:val="20"/>
              </w:rPr>
              <w:t xml:space="preserve"> (ASC-1516-77)</w:t>
            </w:r>
          </w:p>
          <w:p w:rsidR="00F85F32" w:rsidRDefault="00F85F32">
            <w:pPr>
              <w:rPr>
                <w:rFonts w:ascii="Arial" w:hAnsi="Arial" w:cs="Arial"/>
                <w:sz w:val="20"/>
                <w:szCs w:val="20"/>
              </w:rPr>
            </w:pPr>
          </w:p>
          <w:p w:rsidR="00B67182" w:rsidRDefault="00F85F32">
            <w:pPr>
              <w:rPr>
                <w:rFonts w:ascii="Arial" w:hAnsi="Arial" w:cs="Arial"/>
                <w:sz w:val="20"/>
                <w:szCs w:val="20"/>
              </w:rPr>
            </w:pPr>
            <w:r w:rsidRPr="00301CEF">
              <w:rPr>
                <w:rFonts w:ascii="Arial" w:hAnsi="Arial" w:cs="Arial"/>
                <w:b/>
                <w:sz w:val="20"/>
                <w:szCs w:val="20"/>
              </w:rPr>
              <w:t>Noted</w:t>
            </w:r>
            <w:r w:rsidRPr="00301CEF">
              <w:rPr>
                <w:rFonts w:ascii="Arial" w:hAnsi="Arial" w:cs="Arial"/>
                <w:sz w:val="20"/>
                <w:szCs w:val="20"/>
              </w:rPr>
              <w:t>:  The QASG minutes of 21 January 2016 were noted.</w:t>
            </w:r>
          </w:p>
          <w:p w:rsidR="004665FB" w:rsidRDefault="004665FB">
            <w:pPr>
              <w:rPr>
                <w:rFonts w:ascii="Arial" w:hAnsi="Arial" w:cs="Arial"/>
                <w:sz w:val="20"/>
                <w:szCs w:val="20"/>
              </w:rPr>
            </w:pPr>
          </w:p>
          <w:p w:rsidR="00452F73" w:rsidRPr="00A941E4" w:rsidRDefault="00452F73">
            <w:pPr>
              <w:rPr>
                <w:rFonts w:ascii="Arial" w:hAnsi="Arial" w:cs="Arial"/>
                <w:i/>
                <w:sz w:val="20"/>
                <w:szCs w:val="20"/>
              </w:rPr>
            </w:pPr>
          </w:p>
        </w:tc>
      </w:tr>
      <w:tr w:rsidR="00F85F32"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F85F32" w:rsidRDefault="00A941E4">
            <w:pPr>
              <w:rPr>
                <w:rFonts w:ascii="Arial" w:hAnsi="Arial" w:cs="Arial"/>
                <w:b/>
                <w:sz w:val="20"/>
                <w:szCs w:val="20"/>
              </w:rPr>
            </w:pPr>
            <w:r>
              <w:rPr>
                <w:rFonts w:ascii="Arial" w:hAnsi="Arial" w:cs="Arial"/>
                <w:b/>
                <w:sz w:val="20"/>
                <w:szCs w:val="20"/>
              </w:rPr>
              <w:t>6.3</w:t>
            </w:r>
          </w:p>
        </w:tc>
        <w:tc>
          <w:tcPr>
            <w:tcW w:w="8842" w:type="dxa"/>
            <w:gridSpan w:val="4"/>
            <w:tcBorders>
              <w:top w:val="nil"/>
              <w:left w:val="nil"/>
              <w:bottom w:val="nil"/>
              <w:right w:val="nil"/>
            </w:tcBorders>
          </w:tcPr>
          <w:p w:rsidR="00F85F32" w:rsidRPr="00A941E4" w:rsidRDefault="00A941E4">
            <w:pPr>
              <w:rPr>
                <w:rFonts w:ascii="Arial" w:hAnsi="Arial" w:cs="Arial"/>
                <w:sz w:val="20"/>
                <w:szCs w:val="20"/>
              </w:rPr>
            </w:pPr>
            <w:r>
              <w:rPr>
                <w:rFonts w:ascii="Arial" w:hAnsi="Arial" w:cs="Arial"/>
                <w:b/>
                <w:sz w:val="20"/>
                <w:szCs w:val="20"/>
              </w:rPr>
              <w:t>Faculty Academic Standards Committee Minutes</w:t>
            </w:r>
            <w:r>
              <w:rPr>
                <w:rFonts w:ascii="Arial" w:hAnsi="Arial" w:cs="Arial"/>
                <w:sz w:val="20"/>
                <w:szCs w:val="20"/>
              </w:rPr>
              <w:t xml:space="preserve"> (ASC-1516-78)</w:t>
            </w:r>
          </w:p>
        </w:tc>
      </w:tr>
      <w:tr w:rsidR="00F85F32"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F85F32" w:rsidRDefault="00F85F32">
            <w:pPr>
              <w:rPr>
                <w:rFonts w:ascii="Arial" w:hAnsi="Arial" w:cs="Arial"/>
                <w:b/>
                <w:sz w:val="20"/>
                <w:szCs w:val="20"/>
              </w:rPr>
            </w:pPr>
          </w:p>
          <w:p w:rsidR="00A941E4" w:rsidRPr="00A941E4" w:rsidRDefault="00A941E4">
            <w:pPr>
              <w:rPr>
                <w:rFonts w:ascii="Arial" w:hAnsi="Arial" w:cs="Arial"/>
                <w:sz w:val="20"/>
                <w:szCs w:val="20"/>
              </w:rPr>
            </w:pPr>
            <w:r w:rsidRPr="00A941E4">
              <w:rPr>
                <w:rFonts w:ascii="Arial" w:hAnsi="Arial" w:cs="Arial"/>
                <w:sz w:val="20"/>
                <w:szCs w:val="20"/>
              </w:rPr>
              <w:t>6.3.1</w:t>
            </w:r>
          </w:p>
        </w:tc>
        <w:tc>
          <w:tcPr>
            <w:tcW w:w="8842" w:type="dxa"/>
            <w:gridSpan w:val="4"/>
            <w:tcBorders>
              <w:top w:val="nil"/>
              <w:left w:val="nil"/>
              <w:bottom w:val="nil"/>
              <w:right w:val="nil"/>
            </w:tcBorders>
          </w:tcPr>
          <w:p w:rsidR="00F85F32" w:rsidRPr="00301CEF" w:rsidRDefault="00F85F32">
            <w:pPr>
              <w:rPr>
                <w:rFonts w:ascii="Arial" w:hAnsi="Arial" w:cs="Arial"/>
                <w:b/>
                <w:sz w:val="20"/>
                <w:szCs w:val="20"/>
              </w:rPr>
            </w:pPr>
          </w:p>
          <w:p w:rsidR="00A941E4" w:rsidRPr="00301CEF" w:rsidRDefault="00A941E4">
            <w:pPr>
              <w:rPr>
                <w:rFonts w:ascii="Arial" w:hAnsi="Arial" w:cs="Arial"/>
                <w:sz w:val="20"/>
                <w:szCs w:val="20"/>
              </w:rPr>
            </w:pPr>
            <w:r w:rsidRPr="00301CEF">
              <w:rPr>
                <w:rFonts w:ascii="Arial" w:hAnsi="Arial" w:cs="Arial"/>
                <w:b/>
                <w:sz w:val="20"/>
                <w:szCs w:val="20"/>
              </w:rPr>
              <w:t>Noted:</w:t>
            </w:r>
            <w:r w:rsidRPr="00301CEF">
              <w:rPr>
                <w:rFonts w:ascii="Arial" w:hAnsi="Arial" w:cs="Arial"/>
                <w:sz w:val="20"/>
                <w:szCs w:val="20"/>
              </w:rPr>
              <w:t xml:space="preserve"> The Faculty Academic Standards Committee minutes listed below were noted.</w:t>
            </w:r>
          </w:p>
        </w:tc>
      </w:tr>
      <w:tr w:rsidR="00F85F32"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F85F32" w:rsidRDefault="00F85F32">
            <w:pPr>
              <w:rPr>
                <w:rFonts w:ascii="Arial" w:hAnsi="Arial" w:cs="Arial"/>
                <w:b/>
                <w:sz w:val="20"/>
                <w:szCs w:val="20"/>
              </w:rPr>
            </w:pPr>
          </w:p>
        </w:tc>
        <w:tc>
          <w:tcPr>
            <w:tcW w:w="8842" w:type="dxa"/>
            <w:gridSpan w:val="4"/>
            <w:tcBorders>
              <w:top w:val="nil"/>
              <w:left w:val="nil"/>
              <w:bottom w:val="nil"/>
              <w:right w:val="nil"/>
            </w:tcBorders>
          </w:tcPr>
          <w:p w:rsidR="00F85F32" w:rsidRPr="00301CEF" w:rsidRDefault="00F85F32">
            <w:pPr>
              <w:rPr>
                <w:rFonts w:ascii="Arial" w:hAnsi="Arial" w:cs="Arial"/>
                <w:b/>
                <w:sz w:val="20"/>
                <w:szCs w:val="20"/>
              </w:rPr>
            </w:pPr>
          </w:p>
        </w:tc>
      </w:tr>
      <w:tr w:rsidR="00F85F32"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F85F32" w:rsidRDefault="00F85F32">
            <w:pPr>
              <w:rPr>
                <w:rFonts w:ascii="Arial" w:hAnsi="Arial" w:cs="Arial"/>
                <w:b/>
                <w:sz w:val="20"/>
                <w:szCs w:val="20"/>
              </w:rPr>
            </w:pPr>
          </w:p>
        </w:tc>
        <w:tc>
          <w:tcPr>
            <w:tcW w:w="8842" w:type="dxa"/>
            <w:gridSpan w:val="4"/>
            <w:tcBorders>
              <w:top w:val="nil"/>
              <w:left w:val="nil"/>
              <w:bottom w:val="nil"/>
              <w:right w:val="nil"/>
            </w:tcBorders>
          </w:tcPr>
          <w:p w:rsidR="00F85F32" w:rsidRPr="00301CEF" w:rsidRDefault="00A941E4" w:rsidP="00A941E4">
            <w:pPr>
              <w:pStyle w:val="ListParagraph"/>
              <w:numPr>
                <w:ilvl w:val="0"/>
                <w:numId w:val="6"/>
              </w:numPr>
              <w:rPr>
                <w:rFonts w:ascii="Arial" w:hAnsi="Arial" w:cs="Arial"/>
                <w:b/>
                <w:sz w:val="20"/>
                <w:szCs w:val="20"/>
              </w:rPr>
            </w:pPr>
            <w:r w:rsidRPr="00301CEF">
              <w:rPr>
                <w:rFonts w:ascii="Arial" w:hAnsi="Arial" w:cs="Arial"/>
                <w:sz w:val="20"/>
                <w:szCs w:val="20"/>
              </w:rPr>
              <w:t>Faculty of Health &amp; Social Sciences minutes of 18 November 2015 (unconfirmed)</w:t>
            </w:r>
          </w:p>
          <w:p w:rsidR="00A941E4" w:rsidRPr="00301CEF" w:rsidRDefault="00A941E4" w:rsidP="00A941E4">
            <w:pPr>
              <w:pStyle w:val="ListParagraph"/>
              <w:numPr>
                <w:ilvl w:val="0"/>
                <w:numId w:val="6"/>
              </w:numPr>
              <w:rPr>
                <w:rFonts w:ascii="Arial" w:hAnsi="Arial" w:cs="Arial"/>
                <w:b/>
                <w:sz w:val="20"/>
                <w:szCs w:val="20"/>
              </w:rPr>
            </w:pPr>
            <w:r w:rsidRPr="00301CEF">
              <w:rPr>
                <w:rFonts w:ascii="Arial" w:hAnsi="Arial" w:cs="Arial"/>
                <w:sz w:val="20"/>
                <w:szCs w:val="20"/>
              </w:rPr>
              <w:t>Faculty of Management minutes of 2 December 2015 (10.00am meeting and 11.00am meeting) (unconfirmed)</w:t>
            </w:r>
          </w:p>
          <w:p w:rsidR="00A941E4" w:rsidRPr="00301CEF" w:rsidRDefault="00A941E4" w:rsidP="00A941E4">
            <w:pPr>
              <w:pStyle w:val="ListParagraph"/>
              <w:numPr>
                <w:ilvl w:val="0"/>
                <w:numId w:val="6"/>
              </w:numPr>
              <w:rPr>
                <w:rFonts w:ascii="Arial" w:hAnsi="Arial" w:cs="Arial"/>
                <w:b/>
                <w:sz w:val="20"/>
                <w:szCs w:val="20"/>
              </w:rPr>
            </w:pPr>
            <w:r w:rsidRPr="00301CEF">
              <w:rPr>
                <w:rFonts w:ascii="Arial" w:hAnsi="Arial" w:cs="Arial"/>
                <w:sz w:val="20"/>
                <w:szCs w:val="20"/>
              </w:rPr>
              <w:t>Faculty of Media &amp; Communication minutes of 4 November 2015 (confirmed) and 18 November 2015 (unconfirmed)</w:t>
            </w:r>
          </w:p>
          <w:p w:rsidR="00A941E4" w:rsidRPr="00301CEF" w:rsidRDefault="00A941E4" w:rsidP="00A941E4">
            <w:pPr>
              <w:pStyle w:val="ListParagraph"/>
              <w:numPr>
                <w:ilvl w:val="0"/>
                <w:numId w:val="6"/>
              </w:numPr>
              <w:rPr>
                <w:rFonts w:ascii="Arial" w:hAnsi="Arial" w:cs="Arial"/>
                <w:b/>
                <w:sz w:val="20"/>
                <w:szCs w:val="20"/>
              </w:rPr>
            </w:pPr>
            <w:r w:rsidRPr="00301CEF">
              <w:rPr>
                <w:rFonts w:ascii="Arial" w:hAnsi="Arial" w:cs="Arial"/>
                <w:sz w:val="20"/>
                <w:szCs w:val="20"/>
              </w:rPr>
              <w:t>Faculty of Science &amp; Technology minutes of 18 November 2015 (confirmed) and 21 January 2016 (unconfirmed)</w:t>
            </w:r>
          </w:p>
          <w:p w:rsidR="00A941E4" w:rsidRPr="00301CEF" w:rsidRDefault="00A941E4">
            <w:pPr>
              <w:rPr>
                <w:rFonts w:ascii="Arial" w:hAnsi="Arial" w:cs="Arial"/>
                <w:b/>
                <w:sz w:val="20"/>
                <w:szCs w:val="20"/>
              </w:rPr>
            </w:pPr>
          </w:p>
          <w:p w:rsidR="00A941E4" w:rsidRPr="00301CEF" w:rsidRDefault="00A941E4">
            <w:pPr>
              <w:rPr>
                <w:rFonts w:ascii="Arial" w:hAnsi="Arial" w:cs="Arial"/>
                <w:b/>
                <w:sz w:val="20"/>
                <w:szCs w:val="20"/>
              </w:rPr>
            </w:pPr>
          </w:p>
        </w:tc>
      </w:tr>
      <w:tr w:rsidR="00A941E4"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A941E4" w:rsidRDefault="00A941E4">
            <w:pPr>
              <w:rPr>
                <w:rFonts w:ascii="Arial" w:hAnsi="Arial" w:cs="Arial"/>
                <w:b/>
                <w:sz w:val="20"/>
                <w:szCs w:val="20"/>
              </w:rPr>
            </w:pPr>
            <w:r>
              <w:rPr>
                <w:rFonts w:ascii="Arial" w:hAnsi="Arial" w:cs="Arial"/>
                <w:b/>
                <w:sz w:val="20"/>
                <w:szCs w:val="20"/>
              </w:rPr>
              <w:t>7.</w:t>
            </w:r>
          </w:p>
          <w:p w:rsidR="00A941E4" w:rsidRDefault="00A941E4" w:rsidP="00A941E4">
            <w:pPr>
              <w:rPr>
                <w:rFonts w:ascii="Arial" w:hAnsi="Arial" w:cs="Arial"/>
                <w:sz w:val="20"/>
                <w:szCs w:val="20"/>
              </w:rPr>
            </w:pPr>
          </w:p>
          <w:p w:rsidR="00A941E4" w:rsidRPr="00A941E4" w:rsidRDefault="00A941E4" w:rsidP="00A941E4">
            <w:pPr>
              <w:rPr>
                <w:rFonts w:ascii="Arial" w:hAnsi="Arial" w:cs="Arial"/>
                <w:sz w:val="20"/>
                <w:szCs w:val="20"/>
              </w:rPr>
            </w:pPr>
            <w:r>
              <w:rPr>
                <w:rFonts w:ascii="Arial" w:hAnsi="Arial" w:cs="Arial"/>
                <w:sz w:val="20"/>
                <w:szCs w:val="20"/>
              </w:rPr>
              <w:t>7.1</w:t>
            </w:r>
          </w:p>
        </w:tc>
        <w:tc>
          <w:tcPr>
            <w:tcW w:w="8842" w:type="dxa"/>
            <w:gridSpan w:val="4"/>
            <w:tcBorders>
              <w:top w:val="nil"/>
              <w:left w:val="nil"/>
              <w:bottom w:val="nil"/>
              <w:right w:val="nil"/>
            </w:tcBorders>
          </w:tcPr>
          <w:p w:rsidR="00A941E4" w:rsidRDefault="00A941E4" w:rsidP="00036BC6">
            <w:pPr>
              <w:rPr>
                <w:rFonts w:ascii="Arial" w:hAnsi="Arial" w:cs="Arial"/>
                <w:sz w:val="20"/>
                <w:szCs w:val="20"/>
              </w:rPr>
            </w:pPr>
            <w:r>
              <w:rPr>
                <w:rFonts w:ascii="Arial" w:hAnsi="Arial" w:cs="Arial"/>
                <w:b/>
                <w:sz w:val="20"/>
                <w:szCs w:val="20"/>
              </w:rPr>
              <w:t xml:space="preserve">Joint Academic Board Minutes </w:t>
            </w:r>
            <w:r>
              <w:rPr>
                <w:rFonts w:ascii="Arial" w:hAnsi="Arial" w:cs="Arial"/>
                <w:sz w:val="20"/>
                <w:szCs w:val="20"/>
              </w:rPr>
              <w:t>(ASC-1516-79)</w:t>
            </w:r>
          </w:p>
          <w:p w:rsidR="00A941E4" w:rsidRDefault="00A941E4" w:rsidP="00036BC6">
            <w:pPr>
              <w:rPr>
                <w:rFonts w:ascii="Arial" w:hAnsi="Arial" w:cs="Arial"/>
                <w:sz w:val="20"/>
                <w:szCs w:val="20"/>
              </w:rPr>
            </w:pPr>
          </w:p>
          <w:p w:rsidR="00A941E4" w:rsidRPr="00301CEF" w:rsidRDefault="00A941E4" w:rsidP="00036BC6">
            <w:pPr>
              <w:rPr>
                <w:rFonts w:ascii="Arial" w:hAnsi="Arial" w:cs="Arial"/>
                <w:sz w:val="20"/>
                <w:szCs w:val="20"/>
              </w:rPr>
            </w:pPr>
            <w:r w:rsidRPr="00301CEF">
              <w:rPr>
                <w:rFonts w:ascii="Arial" w:hAnsi="Arial" w:cs="Arial"/>
                <w:b/>
                <w:sz w:val="20"/>
                <w:szCs w:val="20"/>
              </w:rPr>
              <w:t>Noted:</w:t>
            </w:r>
            <w:r w:rsidRPr="00301CEF">
              <w:rPr>
                <w:rFonts w:ascii="Arial" w:hAnsi="Arial" w:cs="Arial"/>
                <w:sz w:val="20"/>
                <w:szCs w:val="20"/>
              </w:rPr>
              <w:t xml:space="preserve">  The Joint Academic Board minutes of 17 December 2015 (unconfirmed) were noted.</w:t>
            </w:r>
          </w:p>
          <w:p w:rsidR="00A941E4" w:rsidRDefault="00A941E4" w:rsidP="00036BC6">
            <w:pPr>
              <w:rPr>
                <w:rFonts w:ascii="Arial" w:hAnsi="Arial" w:cs="Arial"/>
                <w:sz w:val="20"/>
                <w:szCs w:val="20"/>
              </w:rPr>
            </w:pPr>
          </w:p>
          <w:p w:rsidR="00A941E4" w:rsidRPr="00A941E4" w:rsidRDefault="00A941E4" w:rsidP="00036BC6">
            <w:pPr>
              <w:rPr>
                <w:rFonts w:ascii="Arial" w:hAnsi="Arial" w:cs="Arial"/>
                <w:sz w:val="20"/>
                <w:szCs w:val="20"/>
              </w:rPr>
            </w:pPr>
          </w:p>
        </w:tc>
      </w:tr>
      <w:tr w:rsidR="004744CD"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4744CD" w:rsidRPr="0006739C" w:rsidRDefault="00A941E4" w:rsidP="00A941E4">
            <w:pPr>
              <w:rPr>
                <w:rFonts w:ascii="Arial" w:hAnsi="Arial" w:cs="Arial"/>
                <w:b/>
                <w:sz w:val="20"/>
                <w:szCs w:val="20"/>
              </w:rPr>
            </w:pPr>
            <w:r>
              <w:rPr>
                <w:rFonts w:ascii="Arial" w:hAnsi="Arial" w:cs="Arial"/>
                <w:b/>
                <w:sz w:val="20"/>
                <w:szCs w:val="20"/>
              </w:rPr>
              <w:t>8</w:t>
            </w:r>
            <w:r w:rsidR="0006739C">
              <w:rPr>
                <w:rFonts w:ascii="Arial" w:hAnsi="Arial" w:cs="Arial"/>
                <w:b/>
                <w:sz w:val="20"/>
                <w:szCs w:val="20"/>
              </w:rPr>
              <w:t>.</w:t>
            </w:r>
          </w:p>
        </w:tc>
        <w:tc>
          <w:tcPr>
            <w:tcW w:w="8842" w:type="dxa"/>
            <w:gridSpan w:val="4"/>
            <w:tcBorders>
              <w:top w:val="nil"/>
              <w:left w:val="nil"/>
              <w:bottom w:val="nil"/>
              <w:right w:val="nil"/>
            </w:tcBorders>
          </w:tcPr>
          <w:p w:rsidR="004744CD" w:rsidRDefault="0006739C" w:rsidP="00036BC6">
            <w:pPr>
              <w:rPr>
                <w:rFonts w:ascii="Arial" w:hAnsi="Arial" w:cs="Arial"/>
                <w:b/>
                <w:sz w:val="20"/>
                <w:szCs w:val="20"/>
              </w:rPr>
            </w:pPr>
            <w:r w:rsidRPr="0006739C">
              <w:rPr>
                <w:rFonts w:ascii="Arial" w:hAnsi="Arial" w:cs="Arial"/>
                <w:b/>
                <w:sz w:val="20"/>
                <w:szCs w:val="20"/>
              </w:rPr>
              <w:t>A</w:t>
            </w:r>
            <w:r w:rsidR="00036BC6">
              <w:rPr>
                <w:rFonts w:ascii="Arial" w:hAnsi="Arial" w:cs="Arial"/>
                <w:b/>
                <w:sz w:val="20"/>
                <w:szCs w:val="20"/>
              </w:rPr>
              <w:t>ny Other Business</w:t>
            </w:r>
          </w:p>
          <w:p w:rsidR="00F637BE" w:rsidRPr="0006739C" w:rsidRDefault="00F637BE" w:rsidP="00036BC6">
            <w:pPr>
              <w:rPr>
                <w:rFonts w:ascii="Arial" w:hAnsi="Arial" w:cs="Arial"/>
                <w:sz w:val="20"/>
                <w:szCs w:val="20"/>
              </w:rPr>
            </w:pPr>
          </w:p>
        </w:tc>
      </w:tr>
      <w:tr w:rsidR="004744CD"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4744CD" w:rsidRDefault="00A941E4" w:rsidP="00A941E4">
            <w:pPr>
              <w:rPr>
                <w:rFonts w:ascii="Arial" w:hAnsi="Arial" w:cs="Arial"/>
                <w:sz w:val="20"/>
                <w:szCs w:val="20"/>
              </w:rPr>
            </w:pPr>
            <w:r>
              <w:rPr>
                <w:rFonts w:ascii="Arial" w:hAnsi="Arial" w:cs="Arial"/>
                <w:sz w:val="20"/>
                <w:szCs w:val="20"/>
              </w:rPr>
              <w:t>8</w:t>
            </w:r>
            <w:r w:rsidR="0006739C">
              <w:rPr>
                <w:rFonts w:ascii="Arial" w:hAnsi="Arial" w:cs="Arial"/>
                <w:sz w:val="20"/>
                <w:szCs w:val="20"/>
              </w:rPr>
              <w:t>.1</w:t>
            </w:r>
          </w:p>
        </w:tc>
        <w:tc>
          <w:tcPr>
            <w:tcW w:w="8842" w:type="dxa"/>
            <w:gridSpan w:val="4"/>
            <w:tcBorders>
              <w:top w:val="nil"/>
              <w:left w:val="nil"/>
              <w:bottom w:val="nil"/>
              <w:right w:val="nil"/>
            </w:tcBorders>
          </w:tcPr>
          <w:p w:rsidR="004744CD" w:rsidRPr="00301CEF" w:rsidRDefault="0006739C" w:rsidP="00036BC6">
            <w:pPr>
              <w:pStyle w:val="BodyTextIndent"/>
              <w:tabs>
                <w:tab w:val="clear" w:pos="624"/>
                <w:tab w:val="clear" w:pos="1950"/>
                <w:tab w:val="clear" w:pos="8346"/>
              </w:tabs>
              <w:ind w:left="720" w:right="-22" w:hanging="720"/>
              <w:jc w:val="both"/>
              <w:rPr>
                <w:rFonts w:ascii="Arial" w:hAnsi="Arial" w:cs="Arial"/>
              </w:rPr>
            </w:pPr>
            <w:r w:rsidRPr="0079578B">
              <w:rPr>
                <w:rFonts w:ascii="Arial" w:hAnsi="Arial" w:cs="Arial"/>
              </w:rPr>
              <w:t>T</w:t>
            </w:r>
            <w:r w:rsidRPr="00301CEF">
              <w:rPr>
                <w:rFonts w:ascii="Arial" w:hAnsi="Arial" w:cs="Arial"/>
              </w:rPr>
              <w:t>here was no other business.</w:t>
            </w:r>
          </w:p>
          <w:p w:rsidR="00F637BE" w:rsidRPr="00301CEF" w:rsidRDefault="00F637BE" w:rsidP="00036BC6">
            <w:pPr>
              <w:pStyle w:val="BodyTextIndent"/>
              <w:tabs>
                <w:tab w:val="clear" w:pos="624"/>
                <w:tab w:val="clear" w:pos="1950"/>
                <w:tab w:val="clear" w:pos="8346"/>
              </w:tabs>
              <w:ind w:left="720" w:right="-22" w:hanging="720"/>
              <w:jc w:val="both"/>
              <w:rPr>
                <w:rFonts w:ascii="Arial" w:hAnsi="Arial" w:cs="Arial"/>
              </w:rPr>
            </w:pPr>
          </w:p>
          <w:p w:rsidR="00E57F4F" w:rsidRDefault="00E57F4F">
            <w:pPr>
              <w:rPr>
                <w:rFonts w:ascii="Arial" w:hAnsi="Arial" w:cs="Arial"/>
                <w:sz w:val="20"/>
                <w:szCs w:val="20"/>
              </w:rPr>
            </w:pPr>
          </w:p>
        </w:tc>
      </w:tr>
      <w:tr w:rsidR="004744CD"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4744CD" w:rsidRPr="0006739C" w:rsidRDefault="00A941E4" w:rsidP="00A941E4">
            <w:pPr>
              <w:rPr>
                <w:rFonts w:ascii="Arial" w:hAnsi="Arial" w:cs="Arial"/>
                <w:b/>
                <w:sz w:val="20"/>
                <w:szCs w:val="20"/>
              </w:rPr>
            </w:pPr>
            <w:r>
              <w:rPr>
                <w:rFonts w:ascii="Arial" w:hAnsi="Arial" w:cs="Arial"/>
                <w:b/>
                <w:sz w:val="20"/>
                <w:szCs w:val="20"/>
              </w:rPr>
              <w:t>9</w:t>
            </w:r>
            <w:r w:rsidR="0006739C">
              <w:rPr>
                <w:rFonts w:ascii="Arial" w:hAnsi="Arial" w:cs="Arial"/>
                <w:b/>
                <w:sz w:val="20"/>
                <w:szCs w:val="20"/>
              </w:rPr>
              <w:t>.</w:t>
            </w:r>
          </w:p>
        </w:tc>
        <w:tc>
          <w:tcPr>
            <w:tcW w:w="8842" w:type="dxa"/>
            <w:gridSpan w:val="4"/>
            <w:tcBorders>
              <w:top w:val="nil"/>
              <w:left w:val="nil"/>
              <w:bottom w:val="nil"/>
              <w:right w:val="nil"/>
            </w:tcBorders>
          </w:tcPr>
          <w:p w:rsidR="004744CD" w:rsidRDefault="0006739C" w:rsidP="00036BC6">
            <w:pPr>
              <w:rPr>
                <w:rFonts w:ascii="Arial" w:hAnsi="Arial" w:cs="Arial"/>
                <w:b/>
                <w:sz w:val="20"/>
                <w:szCs w:val="20"/>
              </w:rPr>
            </w:pPr>
            <w:r w:rsidRPr="0006739C">
              <w:rPr>
                <w:rFonts w:ascii="Arial" w:hAnsi="Arial" w:cs="Arial"/>
                <w:b/>
                <w:sz w:val="20"/>
                <w:szCs w:val="20"/>
              </w:rPr>
              <w:t>D</w:t>
            </w:r>
            <w:r w:rsidR="00036BC6">
              <w:rPr>
                <w:rFonts w:ascii="Arial" w:hAnsi="Arial" w:cs="Arial"/>
                <w:b/>
                <w:sz w:val="20"/>
                <w:szCs w:val="20"/>
              </w:rPr>
              <w:t>ate and Time of Next Meeting</w:t>
            </w:r>
          </w:p>
          <w:p w:rsidR="00F637BE" w:rsidRPr="0006739C" w:rsidRDefault="00F637BE" w:rsidP="00036BC6">
            <w:pPr>
              <w:rPr>
                <w:rFonts w:ascii="Arial" w:hAnsi="Arial" w:cs="Arial"/>
                <w:sz w:val="20"/>
                <w:szCs w:val="20"/>
              </w:rPr>
            </w:pPr>
          </w:p>
        </w:tc>
      </w:tr>
      <w:tr w:rsidR="004744CD" w:rsidTr="0030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rsidR="004744CD" w:rsidRDefault="004744CD">
            <w:pPr>
              <w:rPr>
                <w:rFonts w:ascii="Arial" w:hAnsi="Arial" w:cs="Arial"/>
                <w:sz w:val="20"/>
                <w:szCs w:val="20"/>
              </w:rPr>
            </w:pPr>
          </w:p>
        </w:tc>
        <w:tc>
          <w:tcPr>
            <w:tcW w:w="8842" w:type="dxa"/>
            <w:gridSpan w:val="4"/>
            <w:tcBorders>
              <w:top w:val="nil"/>
              <w:left w:val="nil"/>
              <w:bottom w:val="nil"/>
              <w:right w:val="nil"/>
            </w:tcBorders>
          </w:tcPr>
          <w:p w:rsidR="004744CD" w:rsidRPr="0006739C" w:rsidRDefault="0079578B" w:rsidP="0079578B">
            <w:pPr>
              <w:rPr>
                <w:rFonts w:ascii="Arial" w:hAnsi="Arial" w:cs="Arial"/>
                <w:sz w:val="20"/>
                <w:szCs w:val="20"/>
              </w:rPr>
            </w:pPr>
            <w:r>
              <w:rPr>
                <w:rFonts w:ascii="Arial" w:hAnsi="Arial" w:cs="Arial"/>
                <w:sz w:val="20"/>
                <w:szCs w:val="20"/>
              </w:rPr>
              <w:t>Monday 11</w:t>
            </w:r>
            <w:r w:rsidRPr="0079578B">
              <w:rPr>
                <w:rFonts w:ascii="Arial" w:hAnsi="Arial" w:cs="Arial"/>
                <w:sz w:val="20"/>
                <w:szCs w:val="20"/>
                <w:vertAlign w:val="superscript"/>
              </w:rPr>
              <w:t>th</w:t>
            </w:r>
            <w:r>
              <w:rPr>
                <w:rFonts w:ascii="Arial" w:hAnsi="Arial" w:cs="Arial"/>
                <w:sz w:val="20"/>
                <w:szCs w:val="20"/>
              </w:rPr>
              <w:t xml:space="preserve"> </w:t>
            </w:r>
            <w:r w:rsidR="00A941E4">
              <w:rPr>
                <w:rFonts w:ascii="Arial" w:hAnsi="Arial" w:cs="Arial"/>
                <w:sz w:val="20"/>
                <w:szCs w:val="20"/>
              </w:rPr>
              <w:t>April 2016 – 1</w:t>
            </w:r>
            <w:r>
              <w:rPr>
                <w:rFonts w:ascii="Arial" w:hAnsi="Arial" w:cs="Arial"/>
                <w:sz w:val="20"/>
                <w:szCs w:val="20"/>
              </w:rPr>
              <w:t>1.00a</w:t>
            </w:r>
            <w:r w:rsidR="00A941E4">
              <w:rPr>
                <w:rFonts w:ascii="Arial" w:hAnsi="Arial" w:cs="Arial"/>
                <w:sz w:val="20"/>
                <w:szCs w:val="20"/>
              </w:rPr>
              <w:t xml:space="preserve">m to </w:t>
            </w:r>
            <w:r>
              <w:rPr>
                <w:rFonts w:ascii="Arial" w:hAnsi="Arial" w:cs="Arial"/>
                <w:sz w:val="20"/>
                <w:szCs w:val="20"/>
              </w:rPr>
              <w:t>2</w:t>
            </w:r>
            <w:r w:rsidR="00A941E4">
              <w:rPr>
                <w:rFonts w:ascii="Arial" w:hAnsi="Arial" w:cs="Arial"/>
                <w:sz w:val="20"/>
                <w:szCs w:val="20"/>
              </w:rPr>
              <w:t>.00pm in the Board Room</w:t>
            </w:r>
          </w:p>
        </w:tc>
      </w:tr>
    </w:tbl>
    <w:p w:rsidR="00EB1914" w:rsidRPr="00257EE7" w:rsidRDefault="00EB1914" w:rsidP="00036BC6">
      <w:pPr>
        <w:rPr>
          <w:rFonts w:ascii="Arial" w:hAnsi="Arial" w:cs="Arial"/>
          <w:sz w:val="20"/>
          <w:szCs w:val="20"/>
        </w:rPr>
      </w:pPr>
    </w:p>
    <w:p w:rsidR="00D34BE1" w:rsidRPr="00257EE7" w:rsidRDefault="00D34BE1">
      <w:pPr>
        <w:rPr>
          <w:rFonts w:ascii="Arial" w:hAnsi="Arial" w:cs="Arial"/>
          <w:sz w:val="20"/>
          <w:szCs w:val="20"/>
        </w:rPr>
      </w:pPr>
    </w:p>
    <w:sectPr w:rsidR="00D34BE1" w:rsidRPr="00257EE7" w:rsidSect="00D65FB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39F" w:rsidRDefault="0077539F" w:rsidP="00F637BE">
      <w:r>
        <w:separator/>
      </w:r>
    </w:p>
  </w:endnote>
  <w:endnote w:type="continuationSeparator" w:id="0">
    <w:p w:rsidR="0077539F" w:rsidRDefault="0077539F" w:rsidP="00F6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353290"/>
      <w:docPartObj>
        <w:docPartGallery w:val="Page Numbers (Bottom of Page)"/>
        <w:docPartUnique/>
      </w:docPartObj>
    </w:sdtPr>
    <w:sdtEndPr>
      <w:rPr>
        <w:rFonts w:ascii="Arial" w:hAnsi="Arial" w:cs="Arial"/>
        <w:sz w:val="16"/>
        <w:szCs w:val="16"/>
      </w:rPr>
    </w:sdtEndPr>
    <w:sdtContent>
      <w:sdt>
        <w:sdtPr>
          <w:id w:val="-1669238322"/>
          <w:docPartObj>
            <w:docPartGallery w:val="Page Numbers (Top of Page)"/>
            <w:docPartUnique/>
          </w:docPartObj>
        </w:sdtPr>
        <w:sdtEndPr>
          <w:rPr>
            <w:rFonts w:ascii="Arial" w:hAnsi="Arial" w:cs="Arial"/>
            <w:sz w:val="16"/>
            <w:szCs w:val="16"/>
          </w:rPr>
        </w:sdtEndPr>
        <w:sdtContent>
          <w:p w:rsidR="0077539F" w:rsidRPr="00F637BE" w:rsidRDefault="0077539F">
            <w:pPr>
              <w:pStyle w:val="Footer"/>
              <w:jc w:val="center"/>
              <w:rPr>
                <w:rFonts w:ascii="Arial" w:hAnsi="Arial" w:cs="Arial"/>
                <w:sz w:val="16"/>
                <w:szCs w:val="16"/>
              </w:rPr>
            </w:pPr>
            <w:r w:rsidRPr="00F637BE">
              <w:rPr>
                <w:rFonts w:ascii="Arial" w:hAnsi="Arial" w:cs="Arial"/>
                <w:sz w:val="16"/>
                <w:szCs w:val="16"/>
              </w:rPr>
              <w:t xml:space="preserve">Page </w:t>
            </w:r>
            <w:r w:rsidRPr="00F637BE">
              <w:rPr>
                <w:rFonts w:ascii="Arial" w:hAnsi="Arial" w:cs="Arial"/>
                <w:b/>
                <w:bCs/>
                <w:sz w:val="16"/>
                <w:szCs w:val="16"/>
              </w:rPr>
              <w:fldChar w:fldCharType="begin"/>
            </w:r>
            <w:r w:rsidRPr="00F637BE">
              <w:rPr>
                <w:rFonts w:ascii="Arial" w:hAnsi="Arial" w:cs="Arial"/>
                <w:b/>
                <w:bCs/>
                <w:sz w:val="16"/>
                <w:szCs w:val="16"/>
              </w:rPr>
              <w:instrText xml:space="preserve"> PAGE </w:instrText>
            </w:r>
            <w:r w:rsidRPr="00F637BE">
              <w:rPr>
                <w:rFonts w:ascii="Arial" w:hAnsi="Arial" w:cs="Arial"/>
                <w:b/>
                <w:bCs/>
                <w:sz w:val="16"/>
                <w:szCs w:val="16"/>
              </w:rPr>
              <w:fldChar w:fldCharType="separate"/>
            </w:r>
            <w:r w:rsidR="00330CA0">
              <w:rPr>
                <w:rFonts w:ascii="Arial" w:hAnsi="Arial" w:cs="Arial"/>
                <w:b/>
                <w:bCs/>
                <w:noProof/>
                <w:sz w:val="16"/>
                <w:szCs w:val="16"/>
              </w:rPr>
              <w:t>10</w:t>
            </w:r>
            <w:r w:rsidRPr="00F637BE">
              <w:rPr>
                <w:rFonts w:ascii="Arial" w:hAnsi="Arial" w:cs="Arial"/>
                <w:b/>
                <w:bCs/>
                <w:sz w:val="16"/>
                <w:szCs w:val="16"/>
              </w:rPr>
              <w:fldChar w:fldCharType="end"/>
            </w:r>
            <w:r w:rsidRPr="00F637BE">
              <w:rPr>
                <w:rFonts w:ascii="Arial" w:hAnsi="Arial" w:cs="Arial"/>
                <w:sz w:val="16"/>
                <w:szCs w:val="16"/>
              </w:rPr>
              <w:t xml:space="preserve"> of </w:t>
            </w:r>
            <w:r w:rsidRPr="00F637BE">
              <w:rPr>
                <w:rFonts w:ascii="Arial" w:hAnsi="Arial" w:cs="Arial"/>
                <w:b/>
                <w:bCs/>
                <w:sz w:val="16"/>
                <w:szCs w:val="16"/>
              </w:rPr>
              <w:fldChar w:fldCharType="begin"/>
            </w:r>
            <w:r w:rsidRPr="00F637BE">
              <w:rPr>
                <w:rFonts w:ascii="Arial" w:hAnsi="Arial" w:cs="Arial"/>
                <w:b/>
                <w:bCs/>
                <w:sz w:val="16"/>
                <w:szCs w:val="16"/>
              </w:rPr>
              <w:instrText xml:space="preserve"> NUMPAGES  </w:instrText>
            </w:r>
            <w:r w:rsidRPr="00F637BE">
              <w:rPr>
                <w:rFonts w:ascii="Arial" w:hAnsi="Arial" w:cs="Arial"/>
                <w:b/>
                <w:bCs/>
                <w:sz w:val="16"/>
                <w:szCs w:val="16"/>
              </w:rPr>
              <w:fldChar w:fldCharType="separate"/>
            </w:r>
            <w:r w:rsidR="00330CA0">
              <w:rPr>
                <w:rFonts w:ascii="Arial" w:hAnsi="Arial" w:cs="Arial"/>
                <w:b/>
                <w:bCs/>
                <w:noProof/>
                <w:sz w:val="16"/>
                <w:szCs w:val="16"/>
              </w:rPr>
              <w:t>10</w:t>
            </w:r>
            <w:r w:rsidRPr="00F637BE">
              <w:rPr>
                <w:rFonts w:ascii="Arial" w:hAnsi="Arial" w:cs="Arial"/>
                <w:b/>
                <w:bCs/>
                <w:sz w:val="16"/>
                <w:szCs w:val="16"/>
              </w:rPr>
              <w:fldChar w:fldCharType="end"/>
            </w:r>
          </w:p>
        </w:sdtContent>
      </w:sdt>
    </w:sdtContent>
  </w:sdt>
  <w:p w:rsidR="0077539F" w:rsidRDefault="00775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39F" w:rsidRDefault="0077539F" w:rsidP="00F637BE">
      <w:r>
        <w:separator/>
      </w:r>
    </w:p>
  </w:footnote>
  <w:footnote w:type="continuationSeparator" w:id="0">
    <w:p w:rsidR="0077539F" w:rsidRDefault="0077539F" w:rsidP="00F63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E0F"/>
    <w:multiLevelType w:val="multilevel"/>
    <w:tmpl w:val="00C4E2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76B4F87"/>
    <w:multiLevelType w:val="hybridMultilevel"/>
    <w:tmpl w:val="5060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C0E2C"/>
    <w:multiLevelType w:val="hybridMultilevel"/>
    <w:tmpl w:val="D97A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F5EB8"/>
    <w:multiLevelType w:val="hybridMultilevel"/>
    <w:tmpl w:val="16CAA1B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4">
    <w:nsid w:val="43263960"/>
    <w:multiLevelType w:val="hybridMultilevel"/>
    <w:tmpl w:val="5B149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6A85CC0"/>
    <w:multiLevelType w:val="hybridMultilevel"/>
    <w:tmpl w:val="E14A9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24268EA"/>
    <w:multiLevelType w:val="hybridMultilevel"/>
    <w:tmpl w:val="3666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CC7061"/>
    <w:multiLevelType w:val="hybridMultilevel"/>
    <w:tmpl w:val="F85A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A775F8"/>
    <w:multiLevelType w:val="hybridMultilevel"/>
    <w:tmpl w:val="0B482F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09"/>
    <w:rsid w:val="00004F21"/>
    <w:rsid w:val="00014D04"/>
    <w:rsid w:val="00032828"/>
    <w:rsid w:val="00036BC6"/>
    <w:rsid w:val="00037658"/>
    <w:rsid w:val="00042239"/>
    <w:rsid w:val="00046C61"/>
    <w:rsid w:val="00060B94"/>
    <w:rsid w:val="0006739C"/>
    <w:rsid w:val="00072CE7"/>
    <w:rsid w:val="000744C2"/>
    <w:rsid w:val="00090DF1"/>
    <w:rsid w:val="000B5811"/>
    <w:rsid w:val="000D1D20"/>
    <w:rsid w:val="000E2DDC"/>
    <w:rsid w:val="000E500A"/>
    <w:rsid w:val="000E58BD"/>
    <w:rsid w:val="000E5DE9"/>
    <w:rsid w:val="001258A0"/>
    <w:rsid w:val="00151537"/>
    <w:rsid w:val="00152EAF"/>
    <w:rsid w:val="00163095"/>
    <w:rsid w:val="00187A2F"/>
    <w:rsid w:val="00193C3D"/>
    <w:rsid w:val="001942B3"/>
    <w:rsid w:val="0019652D"/>
    <w:rsid w:val="001B3F20"/>
    <w:rsid w:val="001C17A6"/>
    <w:rsid w:val="001C48F5"/>
    <w:rsid w:val="001D608B"/>
    <w:rsid w:val="001D6442"/>
    <w:rsid w:val="00205B8E"/>
    <w:rsid w:val="002106A1"/>
    <w:rsid w:val="0024004F"/>
    <w:rsid w:val="002471B6"/>
    <w:rsid w:val="00252A6D"/>
    <w:rsid w:val="0025516B"/>
    <w:rsid w:val="00257EE7"/>
    <w:rsid w:val="00263D24"/>
    <w:rsid w:val="00266412"/>
    <w:rsid w:val="00267ED5"/>
    <w:rsid w:val="002A2B13"/>
    <w:rsid w:val="002A3A68"/>
    <w:rsid w:val="002A567B"/>
    <w:rsid w:val="002A5994"/>
    <w:rsid w:val="002B2A78"/>
    <w:rsid w:val="002D1C04"/>
    <w:rsid w:val="002E1509"/>
    <w:rsid w:val="00301CEF"/>
    <w:rsid w:val="0030462E"/>
    <w:rsid w:val="00304D69"/>
    <w:rsid w:val="00330CA0"/>
    <w:rsid w:val="0034330E"/>
    <w:rsid w:val="00364B4C"/>
    <w:rsid w:val="0036550D"/>
    <w:rsid w:val="003835B8"/>
    <w:rsid w:val="003922E2"/>
    <w:rsid w:val="003B3651"/>
    <w:rsid w:val="003D31B9"/>
    <w:rsid w:val="003F2FDA"/>
    <w:rsid w:val="003F3CA1"/>
    <w:rsid w:val="003F4332"/>
    <w:rsid w:val="00403E88"/>
    <w:rsid w:val="00442EAD"/>
    <w:rsid w:val="00452F73"/>
    <w:rsid w:val="00463DC1"/>
    <w:rsid w:val="004665FB"/>
    <w:rsid w:val="004744CD"/>
    <w:rsid w:val="004756A3"/>
    <w:rsid w:val="004A7DAD"/>
    <w:rsid w:val="004C16C6"/>
    <w:rsid w:val="004C25B8"/>
    <w:rsid w:val="004C7ED0"/>
    <w:rsid w:val="004D71C2"/>
    <w:rsid w:val="005028B5"/>
    <w:rsid w:val="0051331D"/>
    <w:rsid w:val="005818C7"/>
    <w:rsid w:val="00583BF2"/>
    <w:rsid w:val="00587619"/>
    <w:rsid w:val="005A2A5A"/>
    <w:rsid w:val="005C5F65"/>
    <w:rsid w:val="005D7CF7"/>
    <w:rsid w:val="005E2DA2"/>
    <w:rsid w:val="005F1C9E"/>
    <w:rsid w:val="00601770"/>
    <w:rsid w:val="00610DC9"/>
    <w:rsid w:val="006158D6"/>
    <w:rsid w:val="00617E77"/>
    <w:rsid w:val="00624515"/>
    <w:rsid w:val="00641D3A"/>
    <w:rsid w:val="00643C63"/>
    <w:rsid w:val="00652970"/>
    <w:rsid w:val="00652AB1"/>
    <w:rsid w:val="00653CD5"/>
    <w:rsid w:val="00684600"/>
    <w:rsid w:val="006879E9"/>
    <w:rsid w:val="00693812"/>
    <w:rsid w:val="006C4AF7"/>
    <w:rsid w:val="006C5238"/>
    <w:rsid w:val="006D7CC1"/>
    <w:rsid w:val="00722D14"/>
    <w:rsid w:val="00736831"/>
    <w:rsid w:val="00737EF6"/>
    <w:rsid w:val="0074576A"/>
    <w:rsid w:val="007462D8"/>
    <w:rsid w:val="00752455"/>
    <w:rsid w:val="00760FE1"/>
    <w:rsid w:val="00767ABF"/>
    <w:rsid w:val="00774798"/>
    <w:rsid w:val="0077539F"/>
    <w:rsid w:val="00776CE6"/>
    <w:rsid w:val="00776DAF"/>
    <w:rsid w:val="0079578B"/>
    <w:rsid w:val="007A212A"/>
    <w:rsid w:val="007A2ABE"/>
    <w:rsid w:val="007A3DEB"/>
    <w:rsid w:val="007A5C60"/>
    <w:rsid w:val="007A76E0"/>
    <w:rsid w:val="007B5835"/>
    <w:rsid w:val="007B6AE7"/>
    <w:rsid w:val="007E4453"/>
    <w:rsid w:val="007E695C"/>
    <w:rsid w:val="007F0238"/>
    <w:rsid w:val="007F0716"/>
    <w:rsid w:val="007F3A2E"/>
    <w:rsid w:val="007F5025"/>
    <w:rsid w:val="007F53BE"/>
    <w:rsid w:val="008017CF"/>
    <w:rsid w:val="00836C5D"/>
    <w:rsid w:val="0084508C"/>
    <w:rsid w:val="00845585"/>
    <w:rsid w:val="008522B1"/>
    <w:rsid w:val="00874BB4"/>
    <w:rsid w:val="00876ED3"/>
    <w:rsid w:val="008A0C88"/>
    <w:rsid w:val="008A5BCB"/>
    <w:rsid w:val="008B3DCA"/>
    <w:rsid w:val="008C040D"/>
    <w:rsid w:val="008C51F2"/>
    <w:rsid w:val="008D51EC"/>
    <w:rsid w:val="009037E2"/>
    <w:rsid w:val="00930715"/>
    <w:rsid w:val="009333D7"/>
    <w:rsid w:val="00951960"/>
    <w:rsid w:val="00967B91"/>
    <w:rsid w:val="00975174"/>
    <w:rsid w:val="009772D9"/>
    <w:rsid w:val="00977DCC"/>
    <w:rsid w:val="00983660"/>
    <w:rsid w:val="00991CBD"/>
    <w:rsid w:val="009A0AAF"/>
    <w:rsid w:val="009B5548"/>
    <w:rsid w:val="009D40C4"/>
    <w:rsid w:val="009E079F"/>
    <w:rsid w:val="009F37F8"/>
    <w:rsid w:val="00A11F96"/>
    <w:rsid w:val="00A14A57"/>
    <w:rsid w:val="00A17F8E"/>
    <w:rsid w:val="00A20B0D"/>
    <w:rsid w:val="00A70D5C"/>
    <w:rsid w:val="00A77D88"/>
    <w:rsid w:val="00A90090"/>
    <w:rsid w:val="00A941E4"/>
    <w:rsid w:val="00AB4367"/>
    <w:rsid w:val="00AC3CC6"/>
    <w:rsid w:val="00AD2767"/>
    <w:rsid w:val="00AD5837"/>
    <w:rsid w:val="00AF2F87"/>
    <w:rsid w:val="00AF642C"/>
    <w:rsid w:val="00AF7D5F"/>
    <w:rsid w:val="00B02EB9"/>
    <w:rsid w:val="00B045F2"/>
    <w:rsid w:val="00B23AE3"/>
    <w:rsid w:val="00B24C00"/>
    <w:rsid w:val="00B43809"/>
    <w:rsid w:val="00B67182"/>
    <w:rsid w:val="00B80792"/>
    <w:rsid w:val="00B8285E"/>
    <w:rsid w:val="00B838DE"/>
    <w:rsid w:val="00B85FDB"/>
    <w:rsid w:val="00B939AB"/>
    <w:rsid w:val="00BA0453"/>
    <w:rsid w:val="00BE6D42"/>
    <w:rsid w:val="00C00216"/>
    <w:rsid w:val="00C01D3D"/>
    <w:rsid w:val="00C265EB"/>
    <w:rsid w:val="00C30CA1"/>
    <w:rsid w:val="00C515D6"/>
    <w:rsid w:val="00C56734"/>
    <w:rsid w:val="00C61029"/>
    <w:rsid w:val="00C65A31"/>
    <w:rsid w:val="00C756A6"/>
    <w:rsid w:val="00C80A62"/>
    <w:rsid w:val="00C9027D"/>
    <w:rsid w:val="00C9261F"/>
    <w:rsid w:val="00CA4AC9"/>
    <w:rsid w:val="00CB65C6"/>
    <w:rsid w:val="00CE59B8"/>
    <w:rsid w:val="00CF181D"/>
    <w:rsid w:val="00D34BE1"/>
    <w:rsid w:val="00D404F2"/>
    <w:rsid w:val="00D500F0"/>
    <w:rsid w:val="00D65FB9"/>
    <w:rsid w:val="00D70F98"/>
    <w:rsid w:val="00D72F2B"/>
    <w:rsid w:val="00DC3BA2"/>
    <w:rsid w:val="00DC6382"/>
    <w:rsid w:val="00DD15BD"/>
    <w:rsid w:val="00DD7452"/>
    <w:rsid w:val="00E225E0"/>
    <w:rsid w:val="00E22EE0"/>
    <w:rsid w:val="00E448DB"/>
    <w:rsid w:val="00E448EF"/>
    <w:rsid w:val="00E46097"/>
    <w:rsid w:val="00E51F6A"/>
    <w:rsid w:val="00E52998"/>
    <w:rsid w:val="00E57F4F"/>
    <w:rsid w:val="00E71119"/>
    <w:rsid w:val="00E728B6"/>
    <w:rsid w:val="00E74A34"/>
    <w:rsid w:val="00E838D3"/>
    <w:rsid w:val="00E952A5"/>
    <w:rsid w:val="00EA001A"/>
    <w:rsid w:val="00EB0D26"/>
    <w:rsid w:val="00EB1914"/>
    <w:rsid w:val="00EC1D4D"/>
    <w:rsid w:val="00ED230B"/>
    <w:rsid w:val="00ED427E"/>
    <w:rsid w:val="00EF4AF0"/>
    <w:rsid w:val="00EF778A"/>
    <w:rsid w:val="00EF7AAB"/>
    <w:rsid w:val="00F01060"/>
    <w:rsid w:val="00F035F4"/>
    <w:rsid w:val="00F16186"/>
    <w:rsid w:val="00F22BF6"/>
    <w:rsid w:val="00F22F92"/>
    <w:rsid w:val="00F259F8"/>
    <w:rsid w:val="00F374F0"/>
    <w:rsid w:val="00F4761E"/>
    <w:rsid w:val="00F61D30"/>
    <w:rsid w:val="00F626B5"/>
    <w:rsid w:val="00F637BE"/>
    <w:rsid w:val="00F64319"/>
    <w:rsid w:val="00F72CE8"/>
    <w:rsid w:val="00F73A77"/>
    <w:rsid w:val="00F82DF2"/>
    <w:rsid w:val="00F8421C"/>
    <w:rsid w:val="00F85F32"/>
    <w:rsid w:val="00FC6FBB"/>
    <w:rsid w:val="00FE1977"/>
    <w:rsid w:val="00FF3EFE"/>
    <w:rsid w:val="00FF4A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E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7EE7"/>
    <w:pPr>
      <w:keepNext/>
      <w:tabs>
        <w:tab w:val="left" w:pos="720"/>
      </w:tabs>
      <w:ind w:right="-360"/>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EE7"/>
    <w:rPr>
      <w:rFonts w:ascii="Palatino" w:eastAsia="Times New Roman" w:hAnsi="Palatino" w:cs="Times New Roman"/>
      <w:b/>
      <w:sz w:val="28"/>
      <w:szCs w:val="20"/>
      <w:lang w:val="en-US" w:eastAsia="en-GB"/>
    </w:rPr>
  </w:style>
  <w:style w:type="table" w:styleId="TableGrid">
    <w:name w:val="Table Grid"/>
    <w:basedOn w:val="TableNormal"/>
    <w:rsid w:val="00257EE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D6442"/>
    <w:pPr>
      <w:tabs>
        <w:tab w:val="left" w:pos="624"/>
        <w:tab w:val="left" w:pos="1950"/>
        <w:tab w:val="right" w:pos="8346"/>
      </w:tabs>
      <w:overflowPunct w:val="0"/>
      <w:autoSpaceDE w:val="0"/>
      <w:autoSpaceDN w:val="0"/>
      <w:adjustRightInd w:val="0"/>
      <w:ind w:left="624"/>
      <w:textAlignment w:val="baseline"/>
    </w:pPr>
    <w:rPr>
      <w:sz w:val="20"/>
      <w:szCs w:val="20"/>
      <w:lang w:eastAsia="en-US"/>
    </w:rPr>
  </w:style>
  <w:style w:type="character" w:customStyle="1" w:styleId="BodyTextIndentChar">
    <w:name w:val="Body Text Indent Char"/>
    <w:basedOn w:val="DefaultParagraphFont"/>
    <w:link w:val="BodyTextIndent"/>
    <w:rsid w:val="001D6442"/>
    <w:rPr>
      <w:rFonts w:ascii="Times New Roman" w:eastAsia="Times New Roman" w:hAnsi="Times New Roman" w:cs="Times New Roman"/>
      <w:sz w:val="20"/>
      <w:szCs w:val="20"/>
    </w:rPr>
  </w:style>
  <w:style w:type="paragraph" w:customStyle="1" w:styleId="Textbodyindent">
    <w:name w:val="Text body indent"/>
    <w:basedOn w:val="Normal"/>
    <w:rsid w:val="00C515D6"/>
    <w:pPr>
      <w:tabs>
        <w:tab w:val="left" w:pos="720"/>
        <w:tab w:val="left" w:pos="1872"/>
        <w:tab w:val="left" w:pos="3198"/>
        <w:tab w:val="right" w:pos="9594"/>
      </w:tabs>
      <w:suppressAutoHyphens/>
      <w:ind w:left="624"/>
      <w:textAlignment w:val="baseline"/>
    </w:pPr>
    <w:rPr>
      <w:rFonts w:ascii="Arial" w:hAnsi="Arial" w:cs="Arial"/>
      <w:color w:val="000000"/>
      <w:sz w:val="20"/>
      <w:szCs w:val="20"/>
      <w:lang w:eastAsia="en-US"/>
    </w:rPr>
  </w:style>
  <w:style w:type="paragraph" w:styleId="ListParagraph">
    <w:name w:val="List Paragraph"/>
    <w:basedOn w:val="Normal"/>
    <w:uiPriority w:val="34"/>
    <w:qFormat/>
    <w:rsid w:val="00ED427E"/>
    <w:pPr>
      <w:ind w:left="720"/>
    </w:pPr>
  </w:style>
  <w:style w:type="character" w:styleId="CommentReference">
    <w:name w:val="annotation reference"/>
    <w:basedOn w:val="DefaultParagraphFont"/>
    <w:uiPriority w:val="99"/>
    <w:semiHidden/>
    <w:unhideWhenUsed/>
    <w:rsid w:val="00E448DB"/>
    <w:rPr>
      <w:sz w:val="16"/>
      <w:szCs w:val="16"/>
    </w:rPr>
  </w:style>
  <w:style w:type="paragraph" w:styleId="CommentText">
    <w:name w:val="annotation text"/>
    <w:basedOn w:val="Normal"/>
    <w:link w:val="CommentTextChar"/>
    <w:uiPriority w:val="99"/>
    <w:semiHidden/>
    <w:unhideWhenUsed/>
    <w:rsid w:val="00E448DB"/>
    <w:rPr>
      <w:sz w:val="20"/>
      <w:szCs w:val="20"/>
    </w:rPr>
  </w:style>
  <w:style w:type="character" w:customStyle="1" w:styleId="CommentTextChar">
    <w:name w:val="Comment Text Char"/>
    <w:basedOn w:val="DefaultParagraphFont"/>
    <w:link w:val="CommentText"/>
    <w:uiPriority w:val="99"/>
    <w:semiHidden/>
    <w:rsid w:val="00E448D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448DB"/>
    <w:rPr>
      <w:b/>
      <w:bCs/>
    </w:rPr>
  </w:style>
  <w:style w:type="character" w:customStyle="1" w:styleId="CommentSubjectChar">
    <w:name w:val="Comment Subject Char"/>
    <w:basedOn w:val="CommentTextChar"/>
    <w:link w:val="CommentSubject"/>
    <w:uiPriority w:val="99"/>
    <w:semiHidden/>
    <w:rsid w:val="00E448D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448DB"/>
    <w:rPr>
      <w:rFonts w:ascii="Tahoma" w:hAnsi="Tahoma" w:cs="Tahoma"/>
      <w:sz w:val="16"/>
      <w:szCs w:val="16"/>
    </w:rPr>
  </w:style>
  <w:style w:type="character" w:customStyle="1" w:styleId="BalloonTextChar">
    <w:name w:val="Balloon Text Char"/>
    <w:basedOn w:val="DefaultParagraphFont"/>
    <w:link w:val="BalloonText"/>
    <w:uiPriority w:val="99"/>
    <w:semiHidden/>
    <w:rsid w:val="00E448DB"/>
    <w:rPr>
      <w:rFonts w:ascii="Tahoma" w:eastAsia="Times New Roman" w:hAnsi="Tahoma" w:cs="Tahoma"/>
      <w:sz w:val="16"/>
      <w:szCs w:val="16"/>
      <w:lang w:eastAsia="en-GB"/>
    </w:rPr>
  </w:style>
  <w:style w:type="paragraph" w:styleId="Header">
    <w:name w:val="header"/>
    <w:basedOn w:val="Normal"/>
    <w:link w:val="HeaderChar"/>
    <w:uiPriority w:val="99"/>
    <w:unhideWhenUsed/>
    <w:rsid w:val="00F637BE"/>
    <w:pPr>
      <w:tabs>
        <w:tab w:val="center" w:pos="4513"/>
        <w:tab w:val="right" w:pos="9026"/>
      </w:tabs>
    </w:pPr>
  </w:style>
  <w:style w:type="character" w:customStyle="1" w:styleId="HeaderChar">
    <w:name w:val="Header Char"/>
    <w:basedOn w:val="DefaultParagraphFont"/>
    <w:link w:val="Header"/>
    <w:uiPriority w:val="99"/>
    <w:rsid w:val="00F637B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637BE"/>
    <w:pPr>
      <w:tabs>
        <w:tab w:val="center" w:pos="4513"/>
        <w:tab w:val="right" w:pos="9026"/>
      </w:tabs>
    </w:pPr>
  </w:style>
  <w:style w:type="character" w:customStyle="1" w:styleId="FooterChar">
    <w:name w:val="Footer Char"/>
    <w:basedOn w:val="DefaultParagraphFont"/>
    <w:link w:val="Footer"/>
    <w:uiPriority w:val="99"/>
    <w:rsid w:val="00F637BE"/>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76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E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7EE7"/>
    <w:pPr>
      <w:keepNext/>
      <w:tabs>
        <w:tab w:val="left" w:pos="720"/>
      </w:tabs>
      <w:ind w:right="-360"/>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EE7"/>
    <w:rPr>
      <w:rFonts w:ascii="Palatino" w:eastAsia="Times New Roman" w:hAnsi="Palatino" w:cs="Times New Roman"/>
      <w:b/>
      <w:sz w:val="28"/>
      <w:szCs w:val="20"/>
      <w:lang w:val="en-US" w:eastAsia="en-GB"/>
    </w:rPr>
  </w:style>
  <w:style w:type="table" w:styleId="TableGrid">
    <w:name w:val="Table Grid"/>
    <w:basedOn w:val="TableNormal"/>
    <w:rsid w:val="00257EE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D6442"/>
    <w:pPr>
      <w:tabs>
        <w:tab w:val="left" w:pos="624"/>
        <w:tab w:val="left" w:pos="1950"/>
        <w:tab w:val="right" w:pos="8346"/>
      </w:tabs>
      <w:overflowPunct w:val="0"/>
      <w:autoSpaceDE w:val="0"/>
      <w:autoSpaceDN w:val="0"/>
      <w:adjustRightInd w:val="0"/>
      <w:ind w:left="624"/>
      <w:textAlignment w:val="baseline"/>
    </w:pPr>
    <w:rPr>
      <w:sz w:val="20"/>
      <w:szCs w:val="20"/>
      <w:lang w:eastAsia="en-US"/>
    </w:rPr>
  </w:style>
  <w:style w:type="character" w:customStyle="1" w:styleId="BodyTextIndentChar">
    <w:name w:val="Body Text Indent Char"/>
    <w:basedOn w:val="DefaultParagraphFont"/>
    <w:link w:val="BodyTextIndent"/>
    <w:rsid w:val="001D6442"/>
    <w:rPr>
      <w:rFonts w:ascii="Times New Roman" w:eastAsia="Times New Roman" w:hAnsi="Times New Roman" w:cs="Times New Roman"/>
      <w:sz w:val="20"/>
      <w:szCs w:val="20"/>
    </w:rPr>
  </w:style>
  <w:style w:type="paragraph" w:customStyle="1" w:styleId="Textbodyindent">
    <w:name w:val="Text body indent"/>
    <w:basedOn w:val="Normal"/>
    <w:rsid w:val="00C515D6"/>
    <w:pPr>
      <w:tabs>
        <w:tab w:val="left" w:pos="720"/>
        <w:tab w:val="left" w:pos="1872"/>
        <w:tab w:val="left" w:pos="3198"/>
        <w:tab w:val="right" w:pos="9594"/>
      </w:tabs>
      <w:suppressAutoHyphens/>
      <w:ind w:left="624"/>
      <w:textAlignment w:val="baseline"/>
    </w:pPr>
    <w:rPr>
      <w:rFonts w:ascii="Arial" w:hAnsi="Arial" w:cs="Arial"/>
      <w:color w:val="000000"/>
      <w:sz w:val="20"/>
      <w:szCs w:val="20"/>
      <w:lang w:eastAsia="en-US"/>
    </w:rPr>
  </w:style>
  <w:style w:type="paragraph" w:styleId="ListParagraph">
    <w:name w:val="List Paragraph"/>
    <w:basedOn w:val="Normal"/>
    <w:uiPriority w:val="34"/>
    <w:qFormat/>
    <w:rsid w:val="00ED427E"/>
    <w:pPr>
      <w:ind w:left="720"/>
    </w:pPr>
  </w:style>
  <w:style w:type="character" w:styleId="CommentReference">
    <w:name w:val="annotation reference"/>
    <w:basedOn w:val="DefaultParagraphFont"/>
    <w:uiPriority w:val="99"/>
    <w:semiHidden/>
    <w:unhideWhenUsed/>
    <w:rsid w:val="00E448DB"/>
    <w:rPr>
      <w:sz w:val="16"/>
      <w:szCs w:val="16"/>
    </w:rPr>
  </w:style>
  <w:style w:type="paragraph" w:styleId="CommentText">
    <w:name w:val="annotation text"/>
    <w:basedOn w:val="Normal"/>
    <w:link w:val="CommentTextChar"/>
    <w:uiPriority w:val="99"/>
    <w:semiHidden/>
    <w:unhideWhenUsed/>
    <w:rsid w:val="00E448DB"/>
    <w:rPr>
      <w:sz w:val="20"/>
      <w:szCs w:val="20"/>
    </w:rPr>
  </w:style>
  <w:style w:type="character" w:customStyle="1" w:styleId="CommentTextChar">
    <w:name w:val="Comment Text Char"/>
    <w:basedOn w:val="DefaultParagraphFont"/>
    <w:link w:val="CommentText"/>
    <w:uiPriority w:val="99"/>
    <w:semiHidden/>
    <w:rsid w:val="00E448D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448DB"/>
    <w:rPr>
      <w:b/>
      <w:bCs/>
    </w:rPr>
  </w:style>
  <w:style w:type="character" w:customStyle="1" w:styleId="CommentSubjectChar">
    <w:name w:val="Comment Subject Char"/>
    <w:basedOn w:val="CommentTextChar"/>
    <w:link w:val="CommentSubject"/>
    <w:uiPriority w:val="99"/>
    <w:semiHidden/>
    <w:rsid w:val="00E448D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448DB"/>
    <w:rPr>
      <w:rFonts w:ascii="Tahoma" w:hAnsi="Tahoma" w:cs="Tahoma"/>
      <w:sz w:val="16"/>
      <w:szCs w:val="16"/>
    </w:rPr>
  </w:style>
  <w:style w:type="character" w:customStyle="1" w:styleId="BalloonTextChar">
    <w:name w:val="Balloon Text Char"/>
    <w:basedOn w:val="DefaultParagraphFont"/>
    <w:link w:val="BalloonText"/>
    <w:uiPriority w:val="99"/>
    <w:semiHidden/>
    <w:rsid w:val="00E448DB"/>
    <w:rPr>
      <w:rFonts w:ascii="Tahoma" w:eastAsia="Times New Roman" w:hAnsi="Tahoma" w:cs="Tahoma"/>
      <w:sz w:val="16"/>
      <w:szCs w:val="16"/>
      <w:lang w:eastAsia="en-GB"/>
    </w:rPr>
  </w:style>
  <w:style w:type="paragraph" w:styleId="Header">
    <w:name w:val="header"/>
    <w:basedOn w:val="Normal"/>
    <w:link w:val="HeaderChar"/>
    <w:uiPriority w:val="99"/>
    <w:unhideWhenUsed/>
    <w:rsid w:val="00F637BE"/>
    <w:pPr>
      <w:tabs>
        <w:tab w:val="center" w:pos="4513"/>
        <w:tab w:val="right" w:pos="9026"/>
      </w:tabs>
    </w:pPr>
  </w:style>
  <w:style w:type="character" w:customStyle="1" w:styleId="HeaderChar">
    <w:name w:val="Header Char"/>
    <w:basedOn w:val="DefaultParagraphFont"/>
    <w:link w:val="Header"/>
    <w:uiPriority w:val="99"/>
    <w:rsid w:val="00F637B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637BE"/>
    <w:pPr>
      <w:tabs>
        <w:tab w:val="center" w:pos="4513"/>
        <w:tab w:val="right" w:pos="9026"/>
      </w:tabs>
    </w:pPr>
  </w:style>
  <w:style w:type="character" w:customStyle="1" w:styleId="FooterChar">
    <w:name w:val="Footer Char"/>
    <w:basedOn w:val="DefaultParagraphFont"/>
    <w:link w:val="Footer"/>
    <w:uiPriority w:val="99"/>
    <w:rsid w:val="00F637BE"/>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7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Status xmlns="http://schemas.microsoft.com/sharepoint/v3/fields">ASC</_Status>
    <DateCompleted xmlns="http://schemas.microsoft.com/sharepoint/v3">2016-04-14T12:00:00+00:00</DateCompleted>
    <_dlc_DocId xmlns="7845b4e5-581f-4554-8843-a411c9829904">ZXDD766ENQDJ-2055672528-320</_dlc_DocId>
    <_dlc_DocIdUrl xmlns="7845b4e5-581f-4554-8843-a411c9829904">
      <Url>https://newintranetsp.bournemouth.ac.uk/Committees/_layouts/15/DocIdRedir.aspx?ID=ZXDD766ENQDJ-2055672528-320</Url>
      <Description>ZXDD766ENQDJ-2055672528-320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536EE-1B1E-4407-B193-8D9B2CE3111E}"/>
</file>

<file path=customXml/itemProps2.xml><?xml version="1.0" encoding="utf-8"?>
<ds:datastoreItem xmlns:ds="http://schemas.openxmlformats.org/officeDocument/2006/customXml" ds:itemID="{5CA707B7-2E30-4D20-A0F2-9764D1317198}"/>
</file>

<file path=customXml/itemProps3.xml><?xml version="1.0" encoding="utf-8"?>
<ds:datastoreItem xmlns:ds="http://schemas.openxmlformats.org/officeDocument/2006/customXml" ds:itemID="{715538EF-475B-4468-A040-84285A46EE27}"/>
</file>

<file path=customXml/itemProps4.xml><?xml version="1.0" encoding="utf-8"?>
<ds:datastoreItem xmlns:ds="http://schemas.openxmlformats.org/officeDocument/2006/customXml" ds:itemID="{BCA36C94-454D-404F-890E-73B1078AE85F}"/>
</file>

<file path=docProps/app.xml><?xml version="1.0" encoding="utf-8"?>
<Properties xmlns="http://schemas.openxmlformats.org/officeDocument/2006/extended-properties" xmlns:vt="http://schemas.openxmlformats.org/officeDocument/2006/docPropsVTypes">
  <Template>Normal.dotm</Template>
  <TotalTime>2</TotalTime>
  <Pages>10</Pages>
  <Words>5457</Words>
  <Characters>31105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Minutes - 10 Feb 2016 - Confirmed - Redacted</dc:title>
  <dc:creator>Maxine,Frampton</dc:creator>
  <cp:lastModifiedBy>Maxine,Frampton</cp:lastModifiedBy>
  <cp:revision>3</cp:revision>
  <dcterms:created xsi:type="dcterms:W3CDTF">2016-04-14T13:00:00Z</dcterms:created>
  <dcterms:modified xsi:type="dcterms:W3CDTF">2016-04-14T13:02:00Z</dcterms:modified>
  <cp:category>Minutes 2016</cp:category>
  <cp:contentStatus>ASC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ASC Minutes - 10 Feb 2016 - Confirmed - Redacted.docx</vt:lpwstr>
  </property>
  <property fmtid="{D5CDD505-2E9C-101B-9397-08002B2CF9AE}" pid="6" name="_dlc_DocIdItemGuid">
    <vt:lpwstr>4804eb11-b3d3-4abe-9dfd-2a6165ca6fb9</vt:lpwstr>
  </property>
  <property fmtid="{D5CDD505-2E9C-101B-9397-08002B2CF9AE}" pid="7" name="Modified By">
    <vt:lpwstr>STAFF\mframpton</vt:lpwstr>
  </property>
  <property fmtid="{D5CDD505-2E9C-101B-9397-08002B2CF9AE}" pid="8" name="source_item_id">
    <vt:lpwstr>950</vt:lpwstr>
  </property>
  <property fmtid="{D5CDD505-2E9C-101B-9397-08002B2CF9AE}" pid="9" name="Created By">
    <vt:lpwstr>STAFF\mframpton</vt:lpwstr>
  </property>
</Properties>
</file>